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40DE" w14:textId="6790ACAC"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844FB5" w:rsidRPr="00844FB5">
        <w:rPr>
          <w:rFonts w:ascii="Arial" w:eastAsia="SimSun" w:hAnsi="Arial" w:cs="Times New Roman"/>
          <w:b/>
          <w:bCs/>
          <w:sz w:val="24"/>
          <w:szCs w:val="20"/>
          <w:lang w:val="en-US" w:eastAsia="ja-JP"/>
        </w:rPr>
        <w:t>R4-2408514</w:t>
      </w:r>
    </w:p>
    <w:p w14:paraId="267A77E4"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356273E"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B2C3EF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B77F0C7" w14:textId="5EFF9F41"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844FB5" w:rsidRPr="00844FB5">
        <w:rPr>
          <w:rFonts w:ascii="Arial" w:eastAsia="Calibri" w:hAnsi="Arial" w:cs="Arial"/>
          <w:b/>
          <w:bCs/>
          <w:sz w:val="24"/>
        </w:rPr>
        <w:t>Considerations on Soft Satellite Switch Capability</w:t>
      </w:r>
    </w:p>
    <w:p w14:paraId="535CEFD6" w14:textId="5F796738" w:rsidR="00841BCD" w:rsidRPr="007B7198" w:rsidRDefault="00841BCD" w:rsidP="00841BCD">
      <w:pPr>
        <w:tabs>
          <w:tab w:val="left" w:pos="1985"/>
        </w:tabs>
        <w:spacing w:after="120" w:line="240" w:lineRule="auto"/>
        <w:rPr>
          <w:rFonts w:ascii="Arial" w:eastAsia="MS Mincho" w:hAnsi="Arial" w:cs="Arial"/>
          <w:b/>
          <w:bCs/>
          <w:sz w:val="24"/>
          <w:szCs w:val="20"/>
        </w:rPr>
      </w:pPr>
      <w:r w:rsidRPr="007B7198">
        <w:rPr>
          <w:rFonts w:ascii="Arial" w:eastAsia="MS Mincho" w:hAnsi="Arial" w:cs="Arial"/>
          <w:b/>
          <w:bCs/>
          <w:sz w:val="24"/>
          <w:szCs w:val="20"/>
        </w:rPr>
        <w:t>Agenda item:</w:t>
      </w:r>
      <w:r w:rsidRPr="007B7198">
        <w:rPr>
          <w:rFonts w:ascii="Arial" w:eastAsia="MS Mincho" w:hAnsi="Arial" w:cs="Arial"/>
          <w:b/>
          <w:bCs/>
          <w:sz w:val="24"/>
          <w:szCs w:val="20"/>
        </w:rPr>
        <w:tab/>
      </w:r>
      <w:r w:rsidR="00667F53">
        <w:rPr>
          <w:rFonts w:ascii="Arial" w:eastAsia="MS Mincho" w:hAnsi="Arial" w:cs="Arial"/>
          <w:b/>
          <w:bCs/>
          <w:sz w:val="24"/>
          <w:szCs w:val="20"/>
        </w:rPr>
        <w:t>7.16.</w:t>
      </w:r>
      <w:r w:rsidR="00C238E7">
        <w:rPr>
          <w:rFonts w:ascii="Arial" w:eastAsia="MS Mincho" w:hAnsi="Arial" w:cs="Arial"/>
          <w:b/>
          <w:bCs/>
          <w:sz w:val="24"/>
          <w:szCs w:val="20"/>
        </w:rPr>
        <w:t>6</w:t>
      </w:r>
      <w:r w:rsidR="00667F53">
        <w:rPr>
          <w:rFonts w:ascii="Arial" w:eastAsia="MS Mincho" w:hAnsi="Arial" w:cs="Arial"/>
          <w:b/>
          <w:bCs/>
          <w:sz w:val="24"/>
          <w:szCs w:val="20"/>
        </w:rPr>
        <w:t>.</w:t>
      </w:r>
      <w:r w:rsidR="00FE4BB0">
        <w:rPr>
          <w:rFonts w:ascii="Arial" w:eastAsia="MS Mincho" w:hAnsi="Arial" w:cs="Arial"/>
          <w:b/>
          <w:bCs/>
          <w:sz w:val="24"/>
          <w:szCs w:val="20"/>
        </w:rPr>
        <w:t>2</w:t>
      </w:r>
    </w:p>
    <w:p w14:paraId="2F69D403"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9F746D1" w14:textId="77777777" w:rsidR="00E323E9" w:rsidRPr="00614DD8" w:rsidRDefault="00E323E9" w:rsidP="00841BCD">
      <w:pPr>
        <w:tabs>
          <w:tab w:val="left" w:pos="1985"/>
        </w:tabs>
        <w:rPr>
          <w:rFonts w:ascii="Arial" w:eastAsia="Calibri" w:hAnsi="Arial" w:cs="Arial"/>
          <w:b/>
          <w:bCs/>
          <w:sz w:val="24"/>
          <w:lang w:val="en-US"/>
        </w:rPr>
      </w:pPr>
    </w:p>
    <w:p w14:paraId="6E647D9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0EBB0A7" w14:textId="11021857" w:rsidR="00522856" w:rsidRDefault="00522856" w:rsidP="00522856">
      <w:bookmarkStart w:id="4" w:name="_Toc116995842"/>
      <w:r w:rsidRPr="00031914">
        <w:t xml:space="preserve">The NTN WI, as presented in [1], includes </w:t>
      </w:r>
      <w:r>
        <w:t xml:space="preserve">objectives for the NTN enhancements in Rel-18, including improvements on service continuity and mobility enhancements between TN and NTN. As a development of this objective, RAN2 has developed more efficient mobility mechanisms for NTN in order to minimize the signalling overhead such as: RACH-less HO and satellite switchover without PCI changing (“satellite switch with re-sync”).  </w:t>
      </w:r>
      <w:r w:rsidR="00683C36">
        <w:t xml:space="preserve">RAN4 has in the previous meeting developed requirements for an harmonious operability of these features. But some items are left for further discussion. </w:t>
      </w:r>
    </w:p>
    <w:p w14:paraId="4CE4E44A" w14:textId="7FB7CE35" w:rsidR="00522856" w:rsidRDefault="00522856" w:rsidP="00522856">
      <w:r>
        <w:t xml:space="preserve">In this contribution we discuss open issues related to the </w:t>
      </w:r>
      <w:r w:rsidR="00683C36">
        <w:t>following topics:</w:t>
      </w:r>
    </w:p>
    <w:p w14:paraId="3854375B" w14:textId="717A354D" w:rsidR="00683C36" w:rsidRDefault="00683C36" w:rsidP="00683C36">
      <w:pPr>
        <w:pStyle w:val="ListParagraph"/>
        <w:numPr>
          <w:ilvl w:val="0"/>
          <w:numId w:val="30"/>
        </w:numPr>
      </w:pPr>
      <w:r>
        <w:t>Scheduling restrictions during soft satellite switch</w:t>
      </w:r>
    </w:p>
    <w:p w14:paraId="71161721" w14:textId="295EF4E7" w:rsidR="00683C36" w:rsidRDefault="00683C36" w:rsidP="00683C36">
      <w:pPr>
        <w:pStyle w:val="ListParagraph"/>
        <w:numPr>
          <w:ilvl w:val="0"/>
          <w:numId w:val="30"/>
        </w:numPr>
      </w:pPr>
      <w:r>
        <w:t>Soft and hard satellite switch capabilities</w:t>
      </w:r>
    </w:p>
    <w:p w14:paraId="26D82944" w14:textId="5AC69212" w:rsidR="00683C36" w:rsidRDefault="00683C36" w:rsidP="00683C36">
      <w:pPr>
        <w:pStyle w:val="ListParagraph"/>
        <w:numPr>
          <w:ilvl w:val="0"/>
          <w:numId w:val="30"/>
        </w:numPr>
      </w:pPr>
      <w:r>
        <w:t>Measurement requirements during soft satellite switch</w:t>
      </w:r>
    </w:p>
    <w:p w14:paraId="0C24D9F3" w14:textId="1355E48D" w:rsidR="00683C36" w:rsidRDefault="00683C36" w:rsidP="00683C36">
      <w:pPr>
        <w:pStyle w:val="ListParagraph"/>
        <w:numPr>
          <w:ilvl w:val="0"/>
          <w:numId w:val="30"/>
        </w:numPr>
      </w:pPr>
      <w:r>
        <w:t xml:space="preserve">Reply to RAN2 LS </w:t>
      </w:r>
      <w:r w:rsidRPr="00683C36">
        <w:t>R2-2403771</w:t>
      </w:r>
      <w:r>
        <w:t xml:space="preserve">  </w:t>
      </w:r>
    </w:p>
    <w:p w14:paraId="552434C0" w14:textId="575B048D" w:rsidR="004E7EC0" w:rsidRDefault="003B659E" w:rsidP="006308C2">
      <w:pPr>
        <w:pStyle w:val="RAN4H1"/>
        <w:rPr>
          <w:lang w:val="en-US"/>
        </w:rPr>
      </w:pPr>
      <w:r w:rsidRPr="00614DD8">
        <w:rPr>
          <w:lang w:val="en-US"/>
        </w:rPr>
        <w:t>Discussion</w:t>
      </w:r>
      <w:bookmarkEnd w:id="4"/>
    </w:p>
    <w:p w14:paraId="31377AFC" w14:textId="25D1EA66" w:rsidR="00683C36" w:rsidRDefault="00683C36" w:rsidP="00683C36">
      <w:pPr>
        <w:pStyle w:val="RAN4H2"/>
        <w:rPr>
          <w:lang w:val="en-US"/>
        </w:rPr>
      </w:pPr>
      <w:r>
        <w:rPr>
          <w:lang w:val="en-US"/>
        </w:rPr>
        <w:t>Soft and Hard Satellite Switch Capabilities</w:t>
      </w:r>
    </w:p>
    <w:p w14:paraId="6C7F7525" w14:textId="48294A6F" w:rsidR="00683C36" w:rsidRDefault="00CA519F" w:rsidP="00683C36">
      <w:pPr>
        <w:rPr>
          <w:lang w:val="en-US"/>
        </w:rPr>
      </w:pPr>
      <w:r>
        <w:rPr>
          <w:lang w:val="en-US"/>
        </w:rPr>
        <w:t xml:space="preserve">RAN2 has developed the satellite switching with resync feature which might be implemented by the network as a soft or a hard switch, where the difference between the two implementations is the point in time where the UE starts the measurements. </w:t>
      </w:r>
    </w:p>
    <w:p w14:paraId="1278C95F" w14:textId="6FA49941" w:rsidR="00CA519F" w:rsidRDefault="00CA519F" w:rsidP="00683C36">
      <w:pPr>
        <w:rPr>
          <w:lang w:val="en-US"/>
        </w:rPr>
      </w:pPr>
      <w:r>
        <w:rPr>
          <w:lang w:val="en-US"/>
        </w:rPr>
        <w:t>In the soft switch the measurements are to be started at t-</w:t>
      </w:r>
      <w:proofErr w:type="spellStart"/>
      <w:r>
        <w:rPr>
          <w:lang w:val="en-US"/>
        </w:rPr>
        <w:t>serviceStart</w:t>
      </w:r>
      <w:proofErr w:type="spellEnd"/>
      <w:r>
        <w:rPr>
          <w:lang w:val="en-US"/>
        </w:rPr>
        <w:t xml:space="preserve"> which is a point in time before t-service, but when hard switch is implemented, t-</w:t>
      </w:r>
      <w:proofErr w:type="spellStart"/>
      <w:r>
        <w:rPr>
          <w:lang w:val="en-US"/>
        </w:rPr>
        <w:t>serviceStart</w:t>
      </w:r>
      <w:proofErr w:type="spellEnd"/>
      <w:r>
        <w:rPr>
          <w:lang w:val="en-US"/>
        </w:rPr>
        <w:t xml:space="preserve"> does not happen before t-service, and the measurements are to be started at t-service. </w:t>
      </w:r>
    </w:p>
    <w:p w14:paraId="7F3C06B4" w14:textId="4EF3FFE9" w:rsidR="00CA519F" w:rsidRDefault="00CA519F" w:rsidP="00683C36">
      <w:pPr>
        <w:rPr>
          <w:lang w:val="en-US"/>
        </w:rPr>
      </w:pPr>
      <w:r>
        <w:rPr>
          <w:lang w:val="en-US"/>
        </w:rPr>
        <w:t>The support for hard and soft switches are optional and independent, which means a UE might support the hard satellite switch and do not support the soft satellite switch. In this case RAN2 has provided the following description for its capabilities in TS 38.306:</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CA519F" w:rsidRPr="00CB570C" w14:paraId="1AE5AC10" w14:textId="77777777" w:rsidTr="00CA519F">
        <w:trPr>
          <w:cantSplit/>
        </w:trPr>
        <w:tc>
          <w:tcPr>
            <w:tcW w:w="6950" w:type="dxa"/>
            <w:tcBorders>
              <w:top w:val="single" w:sz="4" w:space="0" w:color="808080"/>
              <w:left w:val="single" w:sz="4" w:space="0" w:color="808080"/>
              <w:bottom w:val="single" w:sz="4" w:space="0" w:color="808080"/>
              <w:right w:val="single" w:sz="4" w:space="0" w:color="808080"/>
            </w:tcBorders>
          </w:tcPr>
          <w:p w14:paraId="0F640F02" w14:textId="77777777" w:rsidR="00CA519F" w:rsidRPr="00CB570C" w:rsidRDefault="00CA519F" w:rsidP="00CC6DDA">
            <w:pPr>
              <w:pStyle w:val="TAL"/>
              <w:rPr>
                <w:b/>
                <w:bCs/>
                <w:i/>
                <w:iCs/>
              </w:rPr>
            </w:pPr>
            <w:r w:rsidRPr="00CB570C">
              <w:rPr>
                <w:b/>
                <w:bCs/>
                <w:i/>
                <w:iCs/>
              </w:rPr>
              <w:t>hardSatelliteSwitchResyncNTN-r18</w:t>
            </w:r>
          </w:p>
          <w:p w14:paraId="0CA07E85" w14:textId="77777777" w:rsidR="00CA519F" w:rsidRPr="00CB570C" w:rsidRDefault="00CA519F" w:rsidP="00CC6DDA">
            <w:pPr>
              <w:pStyle w:val="TAL"/>
            </w:pPr>
            <w:r w:rsidRPr="00CB570C">
              <w:t>Indicates whether UE supports hard satellite switch with re-sync, as specified in TS 38.331 [9].</w:t>
            </w:r>
          </w:p>
          <w:p w14:paraId="0422700A" w14:textId="77777777" w:rsidR="00CA519F" w:rsidRPr="00CB570C" w:rsidRDefault="00CA519F" w:rsidP="00CC6DDA">
            <w:pPr>
              <w:pStyle w:val="TAL"/>
            </w:pPr>
            <w:r w:rsidRPr="00CB570C">
              <w:t xml:space="preserve">A UE supporting this feature shall also indicate the support of </w:t>
            </w:r>
            <w:r w:rsidRPr="00CB570C">
              <w:rPr>
                <w:i/>
                <w:iCs/>
              </w:rPr>
              <w:t>nonTerrestrialNetwork-r17</w:t>
            </w:r>
            <w:r w:rsidRPr="00CB570C">
              <w:t>.</w:t>
            </w:r>
          </w:p>
          <w:p w14:paraId="3830DA31" w14:textId="77777777" w:rsidR="00CA519F" w:rsidRPr="00CB570C" w:rsidRDefault="00CA519F" w:rsidP="00CC6DDA">
            <w:pPr>
              <w:pStyle w:val="TAL"/>
              <w:rPr>
                <w:b/>
                <w:i/>
              </w:rPr>
            </w:pPr>
            <w:r w:rsidRPr="00CB570C">
              <w:t xml:space="preserve">When UE supports this feature and does not support </w:t>
            </w:r>
            <w:r w:rsidRPr="00CB570C">
              <w:rPr>
                <w:i/>
                <w:iCs/>
              </w:rPr>
              <w:t>softSatelliteSwitchResyncNTN-r18</w:t>
            </w:r>
            <w:r w:rsidRPr="00CB570C">
              <w:t xml:space="preserve">, </w:t>
            </w:r>
            <w:r w:rsidRPr="00CA519F">
              <w:rPr>
                <w:highlight w:val="yellow"/>
              </w:rPr>
              <w:t>this UE is able to perform hard satellite switch with re-sync in a network supporting soft satellite switch with re-sync, as specified in TS 38.331</w:t>
            </w:r>
            <w:r w:rsidRPr="00CB570C">
              <w:t xml:space="preserve"> [9].</w:t>
            </w:r>
          </w:p>
        </w:tc>
        <w:tc>
          <w:tcPr>
            <w:tcW w:w="711" w:type="dxa"/>
            <w:tcBorders>
              <w:top w:val="single" w:sz="4" w:space="0" w:color="808080"/>
              <w:left w:val="single" w:sz="4" w:space="0" w:color="808080"/>
              <w:bottom w:val="single" w:sz="4" w:space="0" w:color="808080"/>
              <w:right w:val="single" w:sz="4" w:space="0" w:color="808080"/>
            </w:tcBorders>
          </w:tcPr>
          <w:p w14:paraId="452F6A3C" w14:textId="77777777" w:rsidR="00CA519F" w:rsidRPr="00CB570C" w:rsidRDefault="00CA519F" w:rsidP="00CC6DDA">
            <w:pPr>
              <w:pStyle w:val="TAL"/>
              <w:jc w:val="cente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70B50DF" w14:textId="77777777" w:rsidR="00CA519F" w:rsidRPr="00CB570C" w:rsidRDefault="00CA519F" w:rsidP="00CC6DDA">
            <w:pPr>
              <w:pStyle w:val="TAL"/>
              <w:jc w:val="cente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82A4305" w14:textId="77777777" w:rsidR="00CA519F" w:rsidRPr="00CB570C" w:rsidRDefault="00CA519F" w:rsidP="00CC6DDA">
            <w:pPr>
              <w:pStyle w:val="TAL"/>
              <w:jc w:val="cente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859DFA6" w14:textId="77777777" w:rsidR="00CA519F" w:rsidRPr="00CB570C" w:rsidRDefault="00CA519F" w:rsidP="00CC6DDA">
            <w:pPr>
              <w:pStyle w:val="TAL"/>
              <w:jc w:val="center"/>
            </w:pPr>
            <w:r w:rsidRPr="00CB570C">
              <w:t>No</w:t>
            </w:r>
          </w:p>
        </w:tc>
      </w:tr>
      <w:tr w:rsidR="00CA519F" w:rsidRPr="00CB570C" w14:paraId="623C22B3" w14:textId="77777777" w:rsidTr="00CA519F">
        <w:trPr>
          <w:cantSplit/>
        </w:trPr>
        <w:tc>
          <w:tcPr>
            <w:tcW w:w="6950" w:type="dxa"/>
            <w:tcBorders>
              <w:top w:val="single" w:sz="4" w:space="0" w:color="808080"/>
              <w:left w:val="single" w:sz="4" w:space="0" w:color="808080"/>
              <w:bottom w:val="single" w:sz="4" w:space="0" w:color="808080"/>
              <w:right w:val="single" w:sz="4" w:space="0" w:color="808080"/>
            </w:tcBorders>
          </w:tcPr>
          <w:p w14:paraId="6DF3AC85" w14:textId="77777777" w:rsidR="00CA519F" w:rsidRPr="00CB570C" w:rsidRDefault="00CA519F" w:rsidP="00CA519F">
            <w:pPr>
              <w:pStyle w:val="TAL"/>
              <w:rPr>
                <w:b/>
                <w:bCs/>
                <w:i/>
                <w:iCs/>
              </w:rPr>
            </w:pPr>
            <w:r w:rsidRPr="00CB570C">
              <w:rPr>
                <w:b/>
                <w:bCs/>
                <w:i/>
                <w:iCs/>
              </w:rPr>
              <w:t>softSatelliteSwitchResyncNTN-r18</w:t>
            </w:r>
          </w:p>
          <w:p w14:paraId="382E6978" w14:textId="77777777" w:rsidR="00CA519F" w:rsidRPr="00CB570C" w:rsidRDefault="00CA519F" w:rsidP="00CA519F">
            <w:pPr>
              <w:pStyle w:val="TAL"/>
            </w:pPr>
            <w:r w:rsidRPr="00CB570C">
              <w:t>Indicates whether UE supports soft satellite switch with re-sync, as specified in TS 38.331 [9].</w:t>
            </w:r>
          </w:p>
          <w:p w14:paraId="40EC58CE" w14:textId="679103DF" w:rsidR="00CA519F" w:rsidRPr="00CB570C" w:rsidRDefault="00CA519F" w:rsidP="00CA519F">
            <w:pPr>
              <w:pStyle w:val="TAL"/>
              <w:rPr>
                <w:b/>
                <w:bCs/>
                <w:i/>
                <w:iCs/>
              </w:rPr>
            </w:pPr>
            <w:r w:rsidRPr="00CB570C">
              <w:t xml:space="preserve">A UE supporting this feature shall also indicate support of </w:t>
            </w:r>
            <w:r w:rsidRPr="00CB570C">
              <w:rPr>
                <w:i/>
                <w:iCs/>
              </w:rPr>
              <w:t>hardSatelliteSwitchResyncNTN-r18.</w:t>
            </w:r>
          </w:p>
        </w:tc>
        <w:tc>
          <w:tcPr>
            <w:tcW w:w="711" w:type="dxa"/>
            <w:tcBorders>
              <w:top w:val="single" w:sz="4" w:space="0" w:color="808080"/>
              <w:left w:val="single" w:sz="4" w:space="0" w:color="808080"/>
              <w:bottom w:val="single" w:sz="4" w:space="0" w:color="808080"/>
              <w:right w:val="single" w:sz="4" w:space="0" w:color="808080"/>
            </w:tcBorders>
          </w:tcPr>
          <w:p w14:paraId="4617AD61" w14:textId="414E75B4" w:rsidR="00CA519F" w:rsidRPr="00CB570C" w:rsidRDefault="00CA519F" w:rsidP="00CA519F">
            <w:pPr>
              <w:pStyle w:val="TAL"/>
              <w:jc w:val="center"/>
              <w:rPr>
                <w:rFonts w:cs="Arial"/>
                <w:bCs/>
                <w:iCs/>
                <w:szCs w:val="18"/>
              </w:rPr>
            </w:pPr>
            <w:r w:rsidRPr="00CB570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5633436" w14:textId="7A063F3F" w:rsidR="00CA519F" w:rsidRPr="00CB570C" w:rsidRDefault="00CA519F" w:rsidP="00CA519F">
            <w:pPr>
              <w:pStyle w:val="TAL"/>
              <w:jc w:val="center"/>
              <w:rPr>
                <w:rFonts w:cs="Arial"/>
                <w:bCs/>
                <w:iCs/>
                <w:szCs w:val="18"/>
              </w:rPr>
            </w:pPr>
            <w:r w:rsidRPr="00CB570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9D6CA85" w14:textId="5CB55151" w:rsidR="00CA519F" w:rsidRPr="00CB570C" w:rsidRDefault="00CA519F" w:rsidP="00CA519F">
            <w:pPr>
              <w:pStyle w:val="TAL"/>
              <w:jc w:val="center"/>
              <w:rPr>
                <w:rFonts w:cs="Arial"/>
                <w:bCs/>
                <w:iCs/>
                <w:szCs w:val="18"/>
              </w:rPr>
            </w:pPr>
            <w:r w:rsidRPr="00CB570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0240E0E" w14:textId="32FD6CF7" w:rsidR="00CA519F" w:rsidRPr="00CB570C" w:rsidRDefault="00CA519F" w:rsidP="00CA519F">
            <w:pPr>
              <w:pStyle w:val="TAL"/>
              <w:jc w:val="center"/>
            </w:pPr>
            <w:r w:rsidRPr="00CB570C">
              <w:t>No</w:t>
            </w:r>
          </w:p>
        </w:tc>
      </w:tr>
    </w:tbl>
    <w:p w14:paraId="37170302" w14:textId="77777777" w:rsidR="00CA519F" w:rsidRDefault="00CA519F" w:rsidP="00683C36">
      <w:pPr>
        <w:rPr>
          <w:lang w:val="en-US"/>
        </w:rPr>
      </w:pPr>
    </w:p>
    <w:p w14:paraId="662F762C" w14:textId="6FC533A5" w:rsidR="00CA519F" w:rsidRDefault="00CA519F" w:rsidP="00683C36">
      <w:pPr>
        <w:rPr>
          <w:lang w:val="en-US"/>
        </w:rPr>
      </w:pPr>
      <w:r>
        <w:rPr>
          <w:lang w:val="en-US"/>
        </w:rPr>
        <w:lastRenderedPageBreak/>
        <w:t>Therefore, the following scenarios are possible:</w:t>
      </w:r>
    </w:p>
    <w:p w14:paraId="7460D6E5" w14:textId="7BA28638" w:rsidR="00CA519F" w:rsidRDefault="00CA519F" w:rsidP="00CA519F">
      <w:pPr>
        <w:pStyle w:val="ListParagraph"/>
        <w:numPr>
          <w:ilvl w:val="0"/>
          <w:numId w:val="31"/>
        </w:numPr>
        <w:rPr>
          <w:lang w:val="en-US"/>
        </w:rPr>
      </w:pPr>
      <w:r>
        <w:rPr>
          <w:lang w:val="en-US"/>
        </w:rPr>
        <w:t>UE does not support neither hard nor satellite switching</w:t>
      </w:r>
    </w:p>
    <w:p w14:paraId="27F21A7D" w14:textId="5D274D2E" w:rsidR="00CA519F" w:rsidRDefault="00CA519F" w:rsidP="00CA519F">
      <w:pPr>
        <w:pStyle w:val="ListParagraph"/>
        <w:numPr>
          <w:ilvl w:val="0"/>
          <w:numId w:val="31"/>
        </w:numPr>
        <w:rPr>
          <w:lang w:val="en-US"/>
        </w:rPr>
      </w:pPr>
      <w:r>
        <w:rPr>
          <w:lang w:val="en-US"/>
        </w:rPr>
        <w:t>UE support hard satellite switching but does not support soft satellite switching</w:t>
      </w:r>
    </w:p>
    <w:p w14:paraId="7C27B785" w14:textId="7BED20CB" w:rsidR="00CA519F" w:rsidRDefault="00CA519F" w:rsidP="00CA519F">
      <w:pPr>
        <w:pStyle w:val="ListParagraph"/>
        <w:numPr>
          <w:ilvl w:val="0"/>
          <w:numId w:val="31"/>
        </w:numPr>
        <w:rPr>
          <w:lang w:val="en-US"/>
        </w:rPr>
      </w:pPr>
      <w:r>
        <w:rPr>
          <w:lang w:val="en-US"/>
        </w:rPr>
        <w:t xml:space="preserve">UE support both hard and soft satellite switching. </w:t>
      </w:r>
    </w:p>
    <w:p w14:paraId="493B60D0" w14:textId="77777777" w:rsidR="00CA519F" w:rsidRDefault="00CA519F" w:rsidP="00CA519F">
      <w:pPr>
        <w:pStyle w:val="ListParagraph"/>
        <w:rPr>
          <w:lang w:val="en-US"/>
        </w:rPr>
      </w:pPr>
    </w:p>
    <w:p w14:paraId="2842CB10" w14:textId="7CC211FC" w:rsidR="00CA519F" w:rsidRDefault="00CA519F" w:rsidP="00CA519F">
      <w:pPr>
        <w:rPr>
          <w:lang w:val="en-US"/>
        </w:rPr>
      </w:pPr>
      <w:r>
        <w:rPr>
          <w:lang w:val="en-US"/>
        </w:rPr>
        <w:t xml:space="preserve">The corresponding applicability of the requirements for satellite switching shall be captured in specification. But the most interesting case to be analyzed is case 2. The highlighted part in the table above indicates that the UE that supports hard satellite switching but does not support soft satellite switching is able to implement hard switching when soft switching is implemented by the network. </w:t>
      </w:r>
    </w:p>
    <w:p w14:paraId="6EBDEFFA" w14:textId="4920DE56" w:rsidR="00CA519F" w:rsidRPr="00CA519F" w:rsidRDefault="00CA519F" w:rsidP="00CA519F">
      <w:pPr>
        <w:pStyle w:val="RAN4proposal"/>
        <w:rPr>
          <w:lang w:val="en-US"/>
        </w:rPr>
      </w:pPr>
      <w:bookmarkStart w:id="5" w:name="_Toc166505336"/>
      <w:r>
        <w:rPr>
          <w:lang w:val="en-US"/>
        </w:rPr>
        <w:t>When soft satellite switching is implemented by the network and the UE supports only hard satellite switching, the UE performs hard satellite switching and the corresponding requirements are applicable to this .</w:t>
      </w:r>
      <w:bookmarkEnd w:id="5"/>
    </w:p>
    <w:p w14:paraId="17DB4923" w14:textId="230B16F4" w:rsidR="00683C36" w:rsidRDefault="00683C36" w:rsidP="00683C36">
      <w:pPr>
        <w:pStyle w:val="RAN4H2"/>
        <w:rPr>
          <w:lang w:val="en-US"/>
        </w:rPr>
      </w:pPr>
      <w:r>
        <w:rPr>
          <w:lang w:val="en-US"/>
        </w:rPr>
        <w:t>Measurement requirements during soft satellite switch</w:t>
      </w:r>
    </w:p>
    <w:p w14:paraId="02D57FB8" w14:textId="1FEBA413" w:rsidR="00CA519F" w:rsidRDefault="00CA519F" w:rsidP="00CA519F">
      <w:pPr>
        <w:rPr>
          <w:lang w:val="en-US"/>
        </w:rPr>
      </w:pPr>
      <w:r>
        <w:rPr>
          <w:lang w:val="en-US"/>
        </w:rPr>
        <w:t>In previous meeting</w:t>
      </w:r>
      <w:r w:rsidR="00192557">
        <w:rPr>
          <w:lang w:val="en-US"/>
        </w:rPr>
        <w:t xml:space="preserve"> </w:t>
      </w:r>
      <w:r w:rsidR="00192557">
        <w:rPr>
          <w:lang w:val="en-US"/>
        </w:rPr>
        <w:fldChar w:fldCharType="begin"/>
      </w:r>
      <w:r w:rsidR="00192557">
        <w:rPr>
          <w:lang w:val="en-US"/>
        </w:rPr>
        <w:instrText xml:space="preserve"> REF _Ref166075839 \r \h </w:instrText>
      </w:r>
      <w:r w:rsidR="00192557">
        <w:rPr>
          <w:lang w:val="en-US"/>
        </w:rPr>
      </w:r>
      <w:r w:rsidR="00192557">
        <w:rPr>
          <w:lang w:val="en-US"/>
        </w:rPr>
        <w:fldChar w:fldCharType="separate"/>
      </w:r>
      <w:r w:rsidR="00192557">
        <w:rPr>
          <w:lang w:val="en-US"/>
        </w:rPr>
        <w:t>[2]</w:t>
      </w:r>
      <w:r w:rsidR="00192557">
        <w:rPr>
          <w:lang w:val="en-US"/>
        </w:rPr>
        <w:fldChar w:fldCharType="end"/>
      </w:r>
      <w:r>
        <w:rPr>
          <w:lang w:val="en-US"/>
        </w:rPr>
        <w:t xml:space="preserve">, RAN4 has agreed that </w:t>
      </w:r>
      <w:r w:rsidR="00486DAA">
        <w:rPr>
          <w:lang w:val="en-US"/>
        </w:rPr>
        <w:t>:</w:t>
      </w:r>
    </w:p>
    <w:tbl>
      <w:tblPr>
        <w:tblStyle w:val="TableGrid"/>
        <w:tblW w:w="0" w:type="auto"/>
        <w:tblLook w:val="04A0" w:firstRow="1" w:lastRow="0" w:firstColumn="1" w:lastColumn="0" w:noHBand="0" w:noVBand="1"/>
      </w:tblPr>
      <w:tblGrid>
        <w:gridCol w:w="9617"/>
      </w:tblGrid>
      <w:tr w:rsidR="00486DAA" w14:paraId="55808C05" w14:textId="77777777" w:rsidTr="00486DAA">
        <w:tc>
          <w:tcPr>
            <w:tcW w:w="9617" w:type="dxa"/>
          </w:tcPr>
          <w:p w14:paraId="13ADF87D" w14:textId="77777777" w:rsidR="00486DAA" w:rsidRPr="000C27C6" w:rsidRDefault="00486DAA" w:rsidP="00486DAA">
            <w:pPr>
              <w:spacing w:after="120" w:line="252" w:lineRule="auto"/>
              <w:ind w:firstLine="284"/>
              <w:rPr>
                <w:b/>
                <w:bCs/>
                <w:u w:val="single"/>
                <w:lang w:eastAsia="ja-JP"/>
              </w:rPr>
            </w:pPr>
            <w:r w:rsidRPr="000C27C6">
              <w:rPr>
                <w:b/>
                <w:bCs/>
                <w:highlight w:val="green"/>
                <w:u w:val="single"/>
                <w:lang w:eastAsia="ja-JP"/>
              </w:rPr>
              <w:t>Agreement (online):</w:t>
            </w:r>
          </w:p>
          <w:p w14:paraId="1422829E" w14:textId="77777777" w:rsidR="00486DAA" w:rsidRPr="0066755F" w:rsidRDefault="00486DAA" w:rsidP="00486DAA">
            <w:pPr>
              <w:pStyle w:val="ListParagraph"/>
              <w:numPr>
                <w:ilvl w:val="0"/>
                <w:numId w:val="28"/>
              </w:numPr>
              <w:overflowPunct w:val="0"/>
              <w:autoSpaceDE w:val="0"/>
              <w:autoSpaceDN w:val="0"/>
              <w:adjustRightInd w:val="0"/>
              <w:spacing w:after="180" w:line="276" w:lineRule="auto"/>
              <w:ind w:left="644"/>
              <w:contextualSpacing w:val="0"/>
              <w:textAlignment w:val="baseline"/>
              <w:rPr>
                <w:szCs w:val="21"/>
                <w:lang w:eastAsia="ja-JP"/>
              </w:rPr>
            </w:pPr>
            <w:r w:rsidRPr="0066755F">
              <w:rPr>
                <w:szCs w:val="21"/>
                <w:lang w:eastAsia="ja-JP"/>
              </w:rPr>
              <w:t>Optimization on measurements</w:t>
            </w:r>
          </w:p>
          <w:p w14:paraId="0AF9AB83" w14:textId="77777777" w:rsidR="00486DAA" w:rsidRPr="0066755F" w:rsidRDefault="00486DAA" w:rsidP="00486DAA">
            <w:pPr>
              <w:pStyle w:val="ListParagraph"/>
              <w:numPr>
                <w:ilvl w:val="1"/>
                <w:numId w:val="28"/>
              </w:numPr>
              <w:overflowPunct w:val="0"/>
              <w:autoSpaceDE w:val="0"/>
              <w:autoSpaceDN w:val="0"/>
              <w:adjustRightInd w:val="0"/>
              <w:spacing w:after="180" w:line="276" w:lineRule="auto"/>
              <w:ind w:left="1364"/>
              <w:contextualSpacing w:val="0"/>
              <w:textAlignment w:val="baseline"/>
              <w:rPr>
                <w:szCs w:val="21"/>
                <w:lang w:eastAsia="ja-JP"/>
              </w:rPr>
            </w:pPr>
            <w:r w:rsidRPr="0066755F">
              <w:rPr>
                <w:szCs w:val="21"/>
                <w:lang w:eastAsia="ja-JP"/>
              </w:rPr>
              <w:t xml:space="preserve">UE is allowed to skip measurements other cells and satellites than the target satellite and </w:t>
            </w:r>
            <w:r w:rsidRPr="0066755F">
              <w:rPr>
                <w:szCs w:val="21"/>
                <w:u w:val="single"/>
                <w:lang w:eastAsia="ja-JP"/>
              </w:rPr>
              <w:t>source satellite</w:t>
            </w:r>
            <w:r w:rsidRPr="0066755F">
              <w:rPr>
                <w:szCs w:val="21"/>
                <w:lang w:eastAsia="ja-JP"/>
              </w:rPr>
              <w:t xml:space="preserve"> from T-</w:t>
            </w:r>
            <w:proofErr w:type="spellStart"/>
            <w:r w:rsidRPr="0066755F">
              <w:rPr>
                <w:szCs w:val="21"/>
                <w:lang w:eastAsia="ja-JP"/>
              </w:rPr>
              <w:t>serviceStart</w:t>
            </w:r>
            <w:proofErr w:type="spellEnd"/>
            <w:r w:rsidRPr="0066755F">
              <w:rPr>
                <w:szCs w:val="21"/>
                <w:lang w:eastAsia="ja-JP"/>
              </w:rPr>
              <w:t xml:space="preserve"> to the satellite switch completion</w:t>
            </w:r>
            <w:r w:rsidRPr="0066755F">
              <w:rPr>
                <w:rFonts w:hint="eastAsia"/>
                <w:szCs w:val="21"/>
              </w:rPr>
              <w:t>.</w:t>
            </w:r>
          </w:p>
          <w:p w14:paraId="06F73A34" w14:textId="77777777" w:rsidR="00486DAA" w:rsidRPr="00486DAA" w:rsidRDefault="00486DAA" w:rsidP="00CA519F"/>
        </w:tc>
      </w:tr>
    </w:tbl>
    <w:p w14:paraId="233626A6" w14:textId="77777777" w:rsidR="00486DAA" w:rsidRDefault="00486DAA" w:rsidP="00CA519F">
      <w:pPr>
        <w:rPr>
          <w:lang w:val="en-US"/>
        </w:rPr>
      </w:pPr>
    </w:p>
    <w:p w14:paraId="10138B77" w14:textId="5C4CC305" w:rsidR="00486DAA" w:rsidRDefault="00486DAA" w:rsidP="00CA519F">
      <w:pPr>
        <w:rPr>
          <w:lang w:val="en-US"/>
        </w:rPr>
      </w:pPr>
      <w:r>
        <w:rPr>
          <w:lang w:val="en-US"/>
        </w:rPr>
        <w:t xml:space="preserve">The idea behind the agreement is that the UE is not required to measure neighbor cells during the satellite switch operation, to focus on satellite switching. By this, we ensure that the UE can complete the operation in reasonable timing. </w:t>
      </w:r>
    </w:p>
    <w:p w14:paraId="19587D0B" w14:textId="184432FD" w:rsidR="00486DAA" w:rsidRDefault="00486DAA" w:rsidP="00CA519F">
      <w:pPr>
        <w:rPr>
          <w:lang w:val="en-US"/>
        </w:rPr>
      </w:pPr>
      <w:r>
        <w:rPr>
          <w:lang w:val="en-US"/>
        </w:rPr>
        <w:t>However, it cannot be expected that the UE finalize neighbor cell measurements that are to be completed in the interval between T-</w:t>
      </w:r>
      <w:proofErr w:type="spellStart"/>
      <w:r>
        <w:rPr>
          <w:lang w:val="en-US"/>
        </w:rPr>
        <w:t>serviceStart</w:t>
      </w:r>
      <w:proofErr w:type="spellEnd"/>
      <w:r>
        <w:rPr>
          <w:lang w:val="en-US"/>
        </w:rPr>
        <w:t xml:space="preserve"> and t-service, as the measurements might have been suspended by the UE. In this sense, the measurement requirements are required to be changed, as the UE might skip some measurement opportunities. </w:t>
      </w:r>
    </w:p>
    <w:p w14:paraId="34FFB878" w14:textId="62A953F2" w:rsidR="00486DAA" w:rsidRDefault="00486DAA" w:rsidP="00486DAA">
      <w:pPr>
        <w:pStyle w:val="RAN4proposal"/>
        <w:rPr>
          <w:lang w:val="en-US"/>
        </w:rPr>
      </w:pPr>
      <w:bookmarkStart w:id="6" w:name="_Toc166505337"/>
      <w:r>
        <w:rPr>
          <w:lang w:val="en-US"/>
        </w:rPr>
        <w:t>Because the UE is allowed to skip measurements in neighbor cells</w:t>
      </w:r>
      <w:r w:rsidR="003112C0">
        <w:rPr>
          <w:lang w:val="en-US"/>
        </w:rPr>
        <w:t xml:space="preserve"> during soft satellite switching</w:t>
      </w:r>
      <w:r>
        <w:rPr>
          <w:lang w:val="en-US"/>
        </w:rPr>
        <w:t xml:space="preserve">, the total timing to </w:t>
      </w:r>
      <w:r w:rsidR="003112C0">
        <w:rPr>
          <w:lang w:val="en-US"/>
        </w:rPr>
        <w:t>detect neighbor cells has to be extended.</w:t>
      </w:r>
      <w:bookmarkEnd w:id="6"/>
      <w:r w:rsidR="003112C0">
        <w:rPr>
          <w:lang w:val="en-US"/>
        </w:rPr>
        <w:t xml:space="preserve"> </w:t>
      </w:r>
    </w:p>
    <w:p w14:paraId="55391B3A" w14:textId="217D2B1F" w:rsidR="003112C0" w:rsidRDefault="003112C0" w:rsidP="003112C0">
      <w:pPr>
        <w:pStyle w:val="RAN4proposal"/>
        <w:rPr>
          <w:lang w:val="en-US"/>
        </w:rPr>
      </w:pPr>
      <w:bookmarkStart w:id="7" w:name="_Toc166505338"/>
      <w:r>
        <w:rPr>
          <w:lang w:val="en-US"/>
        </w:rPr>
        <w:t>The UE is allowed to skip measurement gaps not associated to the satellite switching from the duration of t-</w:t>
      </w:r>
      <w:proofErr w:type="spellStart"/>
      <w:r>
        <w:rPr>
          <w:lang w:val="en-US"/>
        </w:rPr>
        <w:t>serviceStart</w:t>
      </w:r>
      <w:proofErr w:type="spellEnd"/>
      <w:r>
        <w:rPr>
          <w:lang w:val="en-US"/>
        </w:rPr>
        <w:t xml:space="preserve"> and t-service.</w:t>
      </w:r>
      <w:bookmarkEnd w:id="7"/>
      <w:r>
        <w:rPr>
          <w:lang w:val="en-US"/>
        </w:rPr>
        <w:t xml:space="preserve"> </w:t>
      </w:r>
    </w:p>
    <w:p w14:paraId="688FC8EE" w14:textId="77F8C820" w:rsidR="003112C0" w:rsidRDefault="003112C0" w:rsidP="003112C0">
      <w:pPr>
        <w:rPr>
          <w:lang w:val="en-US"/>
        </w:rPr>
      </w:pPr>
      <w:r>
        <w:rPr>
          <w:lang w:val="en-US"/>
        </w:rPr>
        <w:t xml:space="preserve">Because the UE is not required to perform measurements towards neighbor cells, in practice the UE is not required to observe the measurement gaps associated to measurements other than those related to the soft satellite switching, i.e., the UE is allowed to skip measurement gap opportunities. </w:t>
      </w:r>
    </w:p>
    <w:p w14:paraId="51602FDE" w14:textId="77777777" w:rsidR="003112C0" w:rsidRDefault="003112C0" w:rsidP="003112C0">
      <w:pPr>
        <w:pStyle w:val="RAN4proposal"/>
        <w:rPr>
          <w:lang w:val="en-US"/>
        </w:rPr>
      </w:pPr>
      <w:bookmarkStart w:id="8" w:name="_Toc166505339"/>
      <w:r>
        <w:rPr>
          <w:lang w:val="en-US"/>
        </w:rPr>
        <w:t>The UE is allowed to skip measurement gaps not associated to the satellite switching from the duration of t-</w:t>
      </w:r>
      <w:proofErr w:type="spellStart"/>
      <w:r>
        <w:rPr>
          <w:lang w:val="en-US"/>
        </w:rPr>
        <w:t>serviceStart</w:t>
      </w:r>
      <w:proofErr w:type="spellEnd"/>
      <w:r>
        <w:rPr>
          <w:lang w:val="en-US"/>
        </w:rPr>
        <w:t xml:space="preserve"> and t-service.</w:t>
      </w:r>
      <w:bookmarkEnd w:id="8"/>
      <w:r>
        <w:rPr>
          <w:lang w:val="en-US"/>
        </w:rPr>
        <w:t xml:space="preserve"> </w:t>
      </w:r>
    </w:p>
    <w:p w14:paraId="396A3631" w14:textId="38D76366" w:rsidR="003112C0" w:rsidRPr="003112C0" w:rsidRDefault="003112C0" w:rsidP="003112C0">
      <w:pPr>
        <w:rPr>
          <w:lang w:val="en-US"/>
        </w:rPr>
      </w:pPr>
      <w:r>
        <w:rPr>
          <w:lang w:val="en-US"/>
        </w:rPr>
        <w:t xml:space="preserve">In harmony with RAN4 previous agreement, the focus during the satellite switching shall be the measurement of the serving cell. </w:t>
      </w:r>
    </w:p>
    <w:p w14:paraId="790147BB" w14:textId="148B0976" w:rsidR="003112C0" w:rsidRPr="003112C0" w:rsidRDefault="003112C0" w:rsidP="003112C0">
      <w:pPr>
        <w:pStyle w:val="RAN4proposal"/>
        <w:rPr>
          <w:lang w:val="en-US"/>
        </w:rPr>
      </w:pPr>
      <w:bookmarkStart w:id="9" w:name="_Toc166505340"/>
      <w:r>
        <w:rPr>
          <w:lang w:val="en-US"/>
        </w:rPr>
        <w:t>Measurement gaps or SMTCs colliding with RLM-RS are not  accounted for during soft satellite switching operation.</w:t>
      </w:r>
      <w:bookmarkEnd w:id="9"/>
      <w:r>
        <w:rPr>
          <w:lang w:val="en-US"/>
        </w:rPr>
        <w:t xml:space="preserve"> </w:t>
      </w:r>
    </w:p>
    <w:p w14:paraId="6E2B8F14" w14:textId="66043F33" w:rsidR="00683C36" w:rsidRDefault="00683C36" w:rsidP="00683C36">
      <w:pPr>
        <w:pStyle w:val="RAN4H2"/>
        <w:rPr>
          <w:lang w:val="en-US"/>
        </w:rPr>
      </w:pPr>
      <w:r>
        <w:rPr>
          <w:lang w:val="en-US"/>
        </w:rPr>
        <w:t>Scheduling restrictions during soft satellite switch</w:t>
      </w:r>
    </w:p>
    <w:p w14:paraId="32BA51EC" w14:textId="61F570D4" w:rsidR="00424A1C" w:rsidRDefault="00424A1C" w:rsidP="00424A1C">
      <w:pPr>
        <w:rPr>
          <w:lang w:val="en-US"/>
        </w:rPr>
      </w:pPr>
      <w:r>
        <w:rPr>
          <w:lang w:val="en-US"/>
        </w:rPr>
        <w:t>In RAN4 #109, it was established that scheduling restrictions are expected in when soft satellite switching is configured, depending on certain conditions</w:t>
      </w:r>
      <w:r w:rsidR="00192557">
        <w:rPr>
          <w:lang w:val="en-US"/>
        </w:rPr>
        <w:t xml:space="preserve"> </w:t>
      </w:r>
      <w:r w:rsidR="00192557">
        <w:rPr>
          <w:lang w:val="en-US"/>
        </w:rPr>
        <w:fldChar w:fldCharType="begin"/>
      </w:r>
      <w:r w:rsidR="00192557">
        <w:rPr>
          <w:lang w:val="en-US"/>
        </w:rPr>
        <w:instrText xml:space="preserve"> REF _Ref166075865 \r \h </w:instrText>
      </w:r>
      <w:r w:rsidR="00192557">
        <w:rPr>
          <w:lang w:val="en-US"/>
        </w:rPr>
      </w:r>
      <w:r w:rsidR="00192557">
        <w:rPr>
          <w:lang w:val="en-US"/>
        </w:rPr>
        <w:fldChar w:fldCharType="separate"/>
      </w:r>
      <w:r w:rsidR="00192557">
        <w:rPr>
          <w:lang w:val="en-US"/>
        </w:rPr>
        <w:t>[3]</w:t>
      </w:r>
      <w:r w:rsidR="00192557">
        <w:rPr>
          <w:lang w:val="en-US"/>
        </w:rPr>
        <w:fldChar w:fldCharType="end"/>
      </w:r>
      <w:r>
        <w:rPr>
          <w:lang w:val="en-US"/>
        </w:rPr>
        <w:t>. The conclusion of this discussion was provided as a LS-Reply to RAN2</w:t>
      </w:r>
      <w:r>
        <w:rPr>
          <w:lang w:val="en-US"/>
        </w:rPr>
        <w:fldChar w:fldCharType="begin"/>
      </w:r>
      <w:r>
        <w:rPr>
          <w:lang w:val="en-US"/>
        </w:rPr>
        <w:instrText xml:space="preserve"> REF _Ref163475821 \r \h </w:instrText>
      </w:r>
      <w:r>
        <w:rPr>
          <w:lang w:val="en-US"/>
        </w:rPr>
      </w:r>
      <w:r>
        <w:rPr>
          <w:lang w:val="en-US"/>
        </w:rPr>
        <w:fldChar w:fldCharType="separate"/>
      </w:r>
      <w:r>
        <w:rPr>
          <w:lang w:val="en-US"/>
        </w:rPr>
        <w:t>[4]</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424A1C" w14:paraId="07FDA02E" w14:textId="77777777" w:rsidTr="00CC6DDA">
        <w:tc>
          <w:tcPr>
            <w:tcW w:w="9617" w:type="dxa"/>
          </w:tcPr>
          <w:p w14:paraId="30E5A852" w14:textId="77777777" w:rsidR="00424A1C" w:rsidRPr="009F495D" w:rsidRDefault="00424A1C" w:rsidP="00424A1C">
            <w:pPr>
              <w:pStyle w:val="ListParagraph"/>
              <w:numPr>
                <w:ilvl w:val="0"/>
                <w:numId w:val="28"/>
              </w:numPr>
              <w:overflowPunct w:val="0"/>
              <w:autoSpaceDE w:val="0"/>
              <w:autoSpaceDN w:val="0"/>
              <w:adjustRightInd w:val="0"/>
              <w:spacing w:after="180" w:line="276" w:lineRule="auto"/>
              <w:ind w:left="360"/>
              <w:contextualSpacing w:val="0"/>
              <w:textAlignment w:val="baseline"/>
              <w:rPr>
                <w:szCs w:val="20"/>
                <w:lang w:eastAsia="ja-JP"/>
              </w:rPr>
            </w:pPr>
            <w:r w:rsidRPr="009F495D">
              <w:rPr>
                <w:szCs w:val="20"/>
                <w:lang w:eastAsia="ja-JP"/>
              </w:rPr>
              <w:lastRenderedPageBreak/>
              <w:t xml:space="preserve">If the UE starts </w:t>
            </w:r>
            <w:proofErr w:type="spellStart"/>
            <w:r w:rsidRPr="009F495D">
              <w:rPr>
                <w:rFonts w:hint="eastAsia"/>
                <w:szCs w:val="20"/>
                <w:lang w:eastAsia="zh-CN"/>
              </w:rPr>
              <w:t>synchroni</w:t>
            </w:r>
            <w:r w:rsidRPr="009F495D">
              <w:rPr>
                <w:szCs w:val="20"/>
                <w:lang w:val="en-US" w:eastAsia="zh-CN"/>
              </w:rPr>
              <w:t>zation</w:t>
            </w:r>
            <w:proofErr w:type="spellEnd"/>
            <w:r w:rsidRPr="009F495D">
              <w:rPr>
                <w:szCs w:val="20"/>
                <w:lang w:val="en-US" w:eastAsia="zh-CN"/>
              </w:rPr>
              <w:t xml:space="preserve"> to a different satellite from T-</w:t>
            </w:r>
            <w:proofErr w:type="spellStart"/>
            <w:r w:rsidRPr="009F495D">
              <w:rPr>
                <w:szCs w:val="20"/>
                <w:lang w:val="en-US" w:eastAsia="zh-CN"/>
              </w:rPr>
              <w:t>ServiceStart</w:t>
            </w:r>
            <w:proofErr w:type="spellEnd"/>
            <w:r w:rsidRPr="009F495D">
              <w:rPr>
                <w:szCs w:val="20"/>
                <w:lang w:val="en-US" w:eastAsia="zh-CN"/>
              </w:rPr>
              <w:t xml:space="preserve">, scheduling restriction </w:t>
            </w:r>
            <w:r w:rsidRPr="009F495D">
              <w:rPr>
                <w:szCs w:val="20"/>
                <w:lang w:eastAsia="ja-JP"/>
              </w:rPr>
              <w:t>is expected, if:</w:t>
            </w:r>
          </w:p>
          <w:p w14:paraId="7577269B" w14:textId="77777777" w:rsidR="00424A1C" w:rsidRPr="009F495D" w:rsidRDefault="00424A1C" w:rsidP="00424A1C">
            <w:pPr>
              <w:pStyle w:val="ListParagraph"/>
              <w:numPr>
                <w:ilvl w:val="1"/>
                <w:numId w:val="28"/>
              </w:numPr>
              <w:overflowPunct w:val="0"/>
              <w:autoSpaceDE w:val="0"/>
              <w:autoSpaceDN w:val="0"/>
              <w:adjustRightInd w:val="0"/>
              <w:spacing w:after="180" w:line="276" w:lineRule="auto"/>
              <w:ind w:left="1080"/>
              <w:contextualSpacing w:val="0"/>
              <w:textAlignment w:val="baseline"/>
              <w:rPr>
                <w:szCs w:val="20"/>
                <w:lang w:eastAsia="ja-JP"/>
              </w:rPr>
            </w:pPr>
            <w:r w:rsidRPr="009F495D">
              <w:rPr>
                <w:szCs w:val="20"/>
                <w:lang w:eastAsia="ja-JP"/>
              </w:rPr>
              <w:t>the UE is not capable of</w:t>
            </w:r>
            <w:r w:rsidRPr="009F495D">
              <w:rPr>
                <w:i/>
                <w:iCs/>
                <w:szCs w:val="20"/>
                <w:lang w:eastAsia="ja-JP"/>
              </w:rPr>
              <w:t xml:space="preserve"> parallelMeasurementWithoutRestriction-r17, or</w:t>
            </w:r>
          </w:p>
          <w:p w14:paraId="7710F9D2" w14:textId="77777777" w:rsidR="00424A1C" w:rsidRPr="009F495D" w:rsidRDefault="00424A1C" w:rsidP="00424A1C">
            <w:pPr>
              <w:pStyle w:val="ListParagraph"/>
              <w:numPr>
                <w:ilvl w:val="1"/>
                <w:numId w:val="28"/>
              </w:numPr>
              <w:overflowPunct w:val="0"/>
              <w:autoSpaceDE w:val="0"/>
              <w:autoSpaceDN w:val="0"/>
              <w:adjustRightInd w:val="0"/>
              <w:spacing w:after="180" w:line="276" w:lineRule="auto"/>
              <w:ind w:left="1080"/>
              <w:contextualSpacing w:val="0"/>
              <w:textAlignment w:val="baseline"/>
              <w:rPr>
                <w:szCs w:val="20"/>
                <w:lang w:eastAsia="ja-JP"/>
              </w:rPr>
            </w:pPr>
            <w:r w:rsidRPr="009F495D">
              <w:rPr>
                <w:szCs w:val="20"/>
                <w:lang w:eastAsia="ja-JP"/>
              </w:rPr>
              <w:t xml:space="preserve">the UE is not capable of </w:t>
            </w:r>
            <w:proofErr w:type="spellStart"/>
            <w:r w:rsidRPr="009F495D">
              <w:rPr>
                <w:i/>
                <w:iCs/>
                <w:szCs w:val="20"/>
                <w:lang w:val="en-US" w:eastAsia="zh-CN"/>
              </w:rPr>
              <w:t>simultaneousRxDataSSB-DiffNumerology</w:t>
            </w:r>
            <w:proofErr w:type="spellEnd"/>
            <w:r w:rsidRPr="009F495D">
              <w:rPr>
                <w:i/>
                <w:iCs/>
                <w:szCs w:val="20"/>
                <w:lang w:val="en-US" w:eastAsia="zh-CN"/>
              </w:rPr>
              <w:t xml:space="preserve"> </w:t>
            </w:r>
            <w:r w:rsidRPr="009F495D">
              <w:rPr>
                <w:szCs w:val="20"/>
                <w:lang w:val="en-US" w:eastAsia="zh-CN"/>
              </w:rPr>
              <w:t>but the SSB has a different SCS than PDCCH/PDSCH</w:t>
            </w:r>
          </w:p>
          <w:p w14:paraId="614CF4AF" w14:textId="77777777" w:rsidR="00424A1C" w:rsidRPr="009F495D" w:rsidRDefault="00424A1C" w:rsidP="00424A1C">
            <w:pPr>
              <w:pStyle w:val="ListParagraph"/>
              <w:numPr>
                <w:ilvl w:val="1"/>
                <w:numId w:val="28"/>
              </w:numPr>
              <w:overflowPunct w:val="0"/>
              <w:autoSpaceDE w:val="0"/>
              <w:autoSpaceDN w:val="0"/>
              <w:adjustRightInd w:val="0"/>
              <w:spacing w:after="180" w:line="276" w:lineRule="auto"/>
              <w:ind w:left="1080"/>
              <w:contextualSpacing w:val="0"/>
              <w:textAlignment w:val="baseline"/>
              <w:rPr>
                <w:szCs w:val="20"/>
                <w:lang w:eastAsia="ja-JP"/>
              </w:rPr>
            </w:pPr>
            <w:r w:rsidRPr="009F495D">
              <w:rPr>
                <w:szCs w:val="20"/>
                <w:lang w:val="en-US" w:eastAsia="zh-CN"/>
              </w:rPr>
              <w:t>Note: RAN4 is investigating how to minimize the duration of the scheduling restriction.</w:t>
            </w:r>
          </w:p>
          <w:p w14:paraId="6053C01A" w14:textId="77777777" w:rsidR="00424A1C" w:rsidRPr="0062096E" w:rsidRDefault="00424A1C" w:rsidP="00CC6DDA"/>
        </w:tc>
      </w:tr>
    </w:tbl>
    <w:p w14:paraId="27F6CC6B" w14:textId="77777777" w:rsidR="00424A1C" w:rsidRDefault="00424A1C" w:rsidP="00424A1C">
      <w:pPr>
        <w:rPr>
          <w:lang w:val="en-US"/>
        </w:rPr>
      </w:pPr>
    </w:p>
    <w:p w14:paraId="7790BF36" w14:textId="6EFA14BE" w:rsidR="007D4BF6" w:rsidRDefault="00424A1C" w:rsidP="007D4BF6">
      <w:pPr>
        <w:rPr>
          <w:lang w:val="en-US"/>
        </w:rPr>
      </w:pPr>
      <w:r>
        <w:rPr>
          <w:lang w:val="en-US"/>
        </w:rPr>
        <w:t>In RAN4 #110, the discussion has further progressed and the following agreement was made:</w:t>
      </w:r>
    </w:p>
    <w:tbl>
      <w:tblPr>
        <w:tblStyle w:val="TableGrid"/>
        <w:tblW w:w="0" w:type="auto"/>
        <w:tblLook w:val="04A0" w:firstRow="1" w:lastRow="0" w:firstColumn="1" w:lastColumn="0" w:noHBand="0" w:noVBand="1"/>
      </w:tblPr>
      <w:tblGrid>
        <w:gridCol w:w="9617"/>
      </w:tblGrid>
      <w:tr w:rsidR="00424A1C" w14:paraId="083BF975" w14:textId="77777777" w:rsidTr="00424A1C">
        <w:tc>
          <w:tcPr>
            <w:tcW w:w="9617" w:type="dxa"/>
          </w:tcPr>
          <w:p w14:paraId="3A8D3B45" w14:textId="77777777" w:rsidR="00424A1C" w:rsidRPr="000C27C6" w:rsidRDefault="00424A1C" w:rsidP="00424A1C">
            <w:pPr>
              <w:outlineLvl w:val="2"/>
              <w:rPr>
                <w:b/>
                <w:u w:val="single"/>
                <w:lang w:eastAsia="ko-KR"/>
              </w:rPr>
            </w:pPr>
            <w:r w:rsidRPr="000C27C6">
              <w:rPr>
                <w:b/>
                <w:u w:val="single"/>
                <w:lang w:eastAsia="ko-KR"/>
              </w:rPr>
              <w:t>Issue 5-2-S: Soft’ Satellite switch (5-2-S1 and -S2 from RAN4#110 are merged)</w:t>
            </w:r>
          </w:p>
          <w:p w14:paraId="57279ABC" w14:textId="77777777" w:rsidR="00424A1C" w:rsidRPr="000C27C6" w:rsidRDefault="00424A1C" w:rsidP="00424A1C">
            <w:pPr>
              <w:spacing w:after="120" w:line="252" w:lineRule="auto"/>
              <w:ind w:firstLine="284"/>
              <w:rPr>
                <w:b/>
                <w:bCs/>
                <w:u w:val="single"/>
                <w:lang w:eastAsia="ja-JP"/>
              </w:rPr>
            </w:pPr>
            <w:bookmarkStart w:id="10" w:name="_Hlk164353494"/>
            <w:r w:rsidRPr="000C27C6">
              <w:rPr>
                <w:b/>
                <w:bCs/>
                <w:highlight w:val="green"/>
                <w:u w:val="single"/>
                <w:lang w:eastAsia="ja-JP"/>
              </w:rPr>
              <w:t>Agreement (online):</w:t>
            </w:r>
          </w:p>
          <w:bookmarkEnd w:id="10"/>
          <w:p w14:paraId="256801E1" w14:textId="77777777" w:rsidR="00424A1C" w:rsidRPr="0066755F" w:rsidRDefault="00424A1C" w:rsidP="00424A1C">
            <w:pPr>
              <w:pStyle w:val="ListParagraph"/>
              <w:numPr>
                <w:ilvl w:val="0"/>
                <w:numId w:val="28"/>
              </w:numPr>
              <w:overflowPunct w:val="0"/>
              <w:autoSpaceDE w:val="0"/>
              <w:autoSpaceDN w:val="0"/>
              <w:adjustRightInd w:val="0"/>
              <w:spacing w:after="120" w:line="276" w:lineRule="auto"/>
              <w:ind w:left="644"/>
              <w:contextualSpacing w:val="0"/>
              <w:textAlignment w:val="baseline"/>
              <w:rPr>
                <w:szCs w:val="21"/>
                <w:lang w:eastAsia="ja-JP"/>
              </w:rPr>
            </w:pPr>
            <w:r w:rsidRPr="0066755F">
              <w:rPr>
                <w:szCs w:val="21"/>
                <w:lang w:eastAsia="ja-JP"/>
              </w:rPr>
              <w:t>Scheduling restrictions over [t-</w:t>
            </w:r>
            <w:proofErr w:type="spellStart"/>
            <w:r w:rsidRPr="0066755F">
              <w:rPr>
                <w:szCs w:val="21"/>
                <w:lang w:eastAsia="ja-JP"/>
              </w:rPr>
              <w:t>ServiceStart</w:t>
            </w:r>
            <w:proofErr w:type="spellEnd"/>
            <w:r w:rsidRPr="0066755F">
              <w:rPr>
                <w:szCs w:val="21"/>
                <w:lang w:eastAsia="ja-JP"/>
              </w:rPr>
              <w:t xml:space="preserve"> ~ t-Service] for UE incapable of parallelMeasurementWithoutRestriction-r17 and/or [</w:t>
            </w:r>
            <w:proofErr w:type="spellStart"/>
            <w:r w:rsidRPr="0066755F">
              <w:rPr>
                <w:szCs w:val="21"/>
                <w:lang w:eastAsia="ja-JP"/>
              </w:rPr>
              <w:t>differentSCS</w:t>
            </w:r>
            <w:proofErr w:type="spellEnd"/>
            <w:r w:rsidRPr="0066755F">
              <w:rPr>
                <w:szCs w:val="21"/>
                <w:lang w:eastAsia="ja-JP"/>
              </w:rPr>
              <w:t xml:space="preserve"> between SSB and data]</w:t>
            </w:r>
          </w:p>
          <w:p w14:paraId="221CD794" w14:textId="77777777" w:rsidR="00424A1C" w:rsidRPr="0066755F" w:rsidRDefault="00424A1C" w:rsidP="00424A1C">
            <w:pPr>
              <w:pStyle w:val="ListParagraph"/>
              <w:numPr>
                <w:ilvl w:val="1"/>
                <w:numId w:val="28"/>
              </w:numPr>
              <w:overflowPunct w:val="0"/>
              <w:autoSpaceDE w:val="0"/>
              <w:autoSpaceDN w:val="0"/>
              <w:adjustRightInd w:val="0"/>
              <w:spacing w:after="120" w:line="276" w:lineRule="auto"/>
              <w:ind w:left="1364"/>
              <w:contextualSpacing w:val="0"/>
              <w:textAlignment w:val="baseline"/>
              <w:rPr>
                <w:szCs w:val="21"/>
                <w:lang w:eastAsia="ja-JP"/>
              </w:rPr>
            </w:pPr>
            <w:r w:rsidRPr="0066755F">
              <w:rPr>
                <w:szCs w:val="21"/>
                <w:lang w:eastAsia="ja-JP"/>
              </w:rPr>
              <w:t>Define scheduling restriction during soft satellite switch from UE perspective, i.e. scheduling restriction are allowed only during SSB occasions of the target satellite (same as 9.2C.5.3)</w:t>
            </w:r>
          </w:p>
          <w:p w14:paraId="5AD7148B" w14:textId="4786FD24" w:rsidR="00424A1C" w:rsidRDefault="00424A1C" w:rsidP="00424A1C">
            <w:pPr>
              <w:rPr>
                <w:lang w:val="en-US"/>
              </w:rPr>
            </w:pPr>
            <w:r w:rsidRPr="0066755F">
              <w:rPr>
                <w:szCs w:val="21"/>
              </w:rPr>
              <w:t xml:space="preserve">For the scheduling restriction: For RSRP measurement, </w:t>
            </w:r>
            <w:r w:rsidRPr="0066755F">
              <w:rPr>
                <w:rFonts w:hint="eastAsia"/>
                <w:szCs w:val="21"/>
              </w:rPr>
              <w:t>1</w:t>
            </w:r>
            <w:r w:rsidRPr="0066755F">
              <w:rPr>
                <w:szCs w:val="21"/>
              </w:rPr>
              <w:t xml:space="preserve"> additional symbol before and after SSB block. For RSRQ measurement, </w:t>
            </w:r>
            <w:r w:rsidRPr="0066755F">
              <w:rPr>
                <w:rFonts w:hint="eastAsia"/>
                <w:szCs w:val="21"/>
              </w:rPr>
              <w:t>1</w:t>
            </w:r>
            <w:r w:rsidRPr="0066755F">
              <w:rPr>
                <w:szCs w:val="21"/>
              </w:rPr>
              <w:t xml:space="preserve"> additional symbol before and after RSSI symbols</w:t>
            </w:r>
          </w:p>
        </w:tc>
      </w:tr>
    </w:tbl>
    <w:p w14:paraId="7770842F" w14:textId="77777777" w:rsidR="00424A1C" w:rsidRDefault="00424A1C" w:rsidP="007D4BF6">
      <w:pPr>
        <w:rPr>
          <w:lang w:val="en-US"/>
        </w:rPr>
      </w:pPr>
    </w:p>
    <w:p w14:paraId="514D2337" w14:textId="2CB2A691" w:rsidR="00424A1C" w:rsidRDefault="00424A1C" w:rsidP="00424A1C">
      <w:pPr>
        <w:overflowPunct w:val="0"/>
        <w:autoSpaceDE w:val="0"/>
        <w:autoSpaceDN w:val="0"/>
        <w:adjustRightInd w:val="0"/>
        <w:spacing w:after="120" w:line="276" w:lineRule="auto"/>
        <w:textAlignment w:val="baseline"/>
        <w:rPr>
          <w:szCs w:val="21"/>
          <w:lang w:eastAsia="ja-JP"/>
        </w:rPr>
      </w:pPr>
      <w:r>
        <w:rPr>
          <w:szCs w:val="21"/>
          <w:lang w:eastAsia="ja-JP"/>
        </w:rPr>
        <w:t xml:space="preserve">The problem, as we discussed in </w:t>
      </w:r>
      <w:r w:rsidR="00BE0502">
        <w:rPr>
          <w:szCs w:val="21"/>
          <w:lang w:eastAsia="ja-JP"/>
        </w:rPr>
        <w:fldChar w:fldCharType="begin"/>
      </w:r>
      <w:r w:rsidR="00BE0502">
        <w:rPr>
          <w:szCs w:val="21"/>
          <w:lang w:eastAsia="ja-JP"/>
        </w:rPr>
        <w:instrText xml:space="preserve"> REF _Ref166144118 \r \h </w:instrText>
      </w:r>
      <w:r w:rsidR="00BE0502">
        <w:rPr>
          <w:szCs w:val="21"/>
          <w:lang w:eastAsia="ja-JP"/>
        </w:rPr>
      </w:r>
      <w:r w:rsidR="00BE0502">
        <w:rPr>
          <w:szCs w:val="21"/>
          <w:lang w:eastAsia="ja-JP"/>
        </w:rPr>
        <w:fldChar w:fldCharType="separate"/>
      </w:r>
      <w:r w:rsidR="00BE0502">
        <w:rPr>
          <w:szCs w:val="21"/>
          <w:lang w:eastAsia="ja-JP"/>
        </w:rPr>
        <w:t>[5]</w:t>
      </w:r>
      <w:r w:rsidR="00BE0502">
        <w:rPr>
          <w:szCs w:val="21"/>
          <w:lang w:eastAsia="ja-JP"/>
        </w:rPr>
        <w:fldChar w:fldCharType="end"/>
      </w:r>
      <w:r>
        <w:rPr>
          <w:szCs w:val="21"/>
          <w:lang w:eastAsia="ja-JP"/>
        </w:rPr>
        <w:t xml:space="preserve"> is that from the network point of view, it is not possible to know when the UE is applying the scheduling restriction, there is an uncertainty of up to 11 </w:t>
      </w:r>
      <w:proofErr w:type="spellStart"/>
      <w:r>
        <w:rPr>
          <w:szCs w:val="21"/>
          <w:lang w:eastAsia="ja-JP"/>
        </w:rPr>
        <w:t>ms</w:t>
      </w:r>
      <w:proofErr w:type="spellEnd"/>
      <w:r>
        <w:rPr>
          <w:szCs w:val="21"/>
          <w:lang w:eastAsia="ja-JP"/>
        </w:rPr>
        <w:t xml:space="preserve"> in the exact time the scheduling restriction applies. </w:t>
      </w:r>
      <w:r w:rsidR="00B557F7">
        <w:rPr>
          <w:szCs w:val="21"/>
          <w:lang w:eastAsia="ja-JP"/>
        </w:rPr>
        <w:t xml:space="preserve">In </w:t>
      </w:r>
      <w:r w:rsidR="00B557F7">
        <w:rPr>
          <w:szCs w:val="21"/>
          <w:lang w:eastAsia="ja-JP"/>
        </w:rPr>
        <w:fldChar w:fldCharType="begin"/>
      </w:r>
      <w:r w:rsidR="00B557F7">
        <w:rPr>
          <w:szCs w:val="21"/>
          <w:lang w:eastAsia="ja-JP"/>
        </w:rPr>
        <w:instrText xml:space="preserve"> REF _Ref166075138 \r \h </w:instrText>
      </w:r>
      <w:r w:rsidR="00B557F7">
        <w:rPr>
          <w:szCs w:val="21"/>
          <w:lang w:eastAsia="ja-JP"/>
        </w:rPr>
      </w:r>
      <w:r w:rsidR="00B557F7">
        <w:rPr>
          <w:szCs w:val="21"/>
          <w:lang w:eastAsia="ja-JP"/>
        </w:rPr>
        <w:fldChar w:fldCharType="separate"/>
      </w:r>
      <w:r w:rsidR="00BE0502">
        <w:rPr>
          <w:szCs w:val="21"/>
          <w:lang w:eastAsia="ja-JP"/>
        </w:rPr>
        <w:t>[6]</w:t>
      </w:r>
      <w:r w:rsidR="00B557F7">
        <w:rPr>
          <w:szCs w:val="21"/>
          <w:lang w:eastAsia="ja-JP"/>
        </w:rPr>
        <w:fldChar w:fldCharType="end"/>
      </w:r>
      <w:r w:rsidR="00B557F7">
        <w:rPr>
          <w:szCs w:val="21"/>
          <w:lang w:eastAsia="ja-JP"/>
        </w:rPr>
        <w:t>, there is a suggestion that due to uncertainty the full interval between t-</w:t>
      </w:r>
      <w:proofErr w:type="spellStart"/>
      <w:r w:rsidR="00B557F7">
        <w:rPr>
          <w:szCs w:val="21"/>
          <w:lang w:eastAsia="ja-JP"/>
        </w:rPr>
        <w:t>serviceStart</w:t>
      </w:r>
      <w:proofErr w:type="spellEnd"/>
      <w:r w:rsidR="00B557F7">
        <w:rPr>
          <w:szCs w:val="21"/>
          <w:lang w:eastAsia="ja-JP"/>
        </w:rPr>
        <w:t xml:space="preserve"> and t-service should be considered scheduling-restricted for the UE. </w:t>
      </w:r>
    </w:p>
    <w:p w14:paraId="39624819" w14:textId="6CBC0D54" w:rsidR="00B557F7" w:rsidRDefault="00B557F7" w:rsidP="00424A1C">
      <w:pPr>
        <w:overflowPunct w:val="0"/>
        <w:autoSpaceDE w:val="0"/>
        <w:autoSpaceDN w:val="0"/>
        <w:adjustRightInd w:val="0"/>
        <w:spacing w:after="120" w:line="276" w:lineRule="auto"/>
        <w:textAlignment w:val="baseline"/>
        <w:rPr>
          <w:szCs w:val="21"/>
          <w:lang w:eastAsia="ja-JP"/>
        </w:rPr>
      </w:pPr>
      <w:r>
        <w:rPr>
          <w:szCs w:val="21"/>
          <w:lang w:eastAsia="ja-JP"/>
        </w:rPr>
        <w:t>To avoid even more overhead in NTN, it is important and simple to minimize the total scheduling restriction during soft switching operation</w:t>
      </w:r>
      <w:r w:rsidR="00665F71">
        <w:rPr>
          <w:szCs w:val="21"/>
          <w:lang w:eastAsia="ja-JP"/>
        </w:rPr>
        <w:t>. In this contribution we propose two manners to alleviate this problem:</w:t>
      </w:r>
    </w:p>
    <w:p w14:paraId="286A126B" w14:textId="1AA23788" w:rsidR="00665F71" w:rsidRDefault="00665F71" w:rsidP="00665F71">
      <w:pPr>
        <w:pStyle w:val="RAN4proposal"/>
        <w:rPr>
          <w:lang w:eastAsia="ja-JP"/>
        </w:rPr>
      </w:pPr>
      <w:bookmarkStart w:id="11" w:name="_Toc166505341"/>
      <w:r>
        <w:rPr>
          <w:lang w:eastAsia="ja-JP"/>
        </w:rPr>
        <w:t xml:space="preserve">Soft satellite switching requirements do not apply if the propagation delay difference is larger than 2 </w:t>
      </w:r>
      <w:proofErr w:type="spellStart"/>
      <w:r>
        <w:rPr>
          <w:lang w:eastAsia="ja-JP"/>
        </w:rPr>
        <w:t>ms</w:t>
      </w:r>
      <w:proofErr w:type="spellEnd"/>
      <w:r>
        <w:rPr>
          <w:lang w:eastAsia="ja-JP"/>
        </w:rPr>
        <w:t>.</w:t>
      </w:r>
      <w:bookmarkEnd w:id="11"/>
      <w:r>
        <w:rPr>
          <w:lang w:eastAsia="ja-JP"/>
        </w:rPr>
        <w:t xml:space="preserve"> </w:t>
      </w:r>
    </w:p>
    <w:p w14:paraId="463EE054" w14:textId="645B9BB2" w:rsidR="00665F71" w:rsidRPr="00665F71" w:rsidRDefault="00665F71" w:rsidP="00665F71">
      <w:pPr>
        <w:pStyle w:val="RAN4proposal"/>
        <w:rPr>
          <w:lang w:eastAsia="ja-JP"/>
        </w:rPr>
      </w:pPr>
      <w:bookmarkStart w:id="12" w:name="_Toc166505342"/>
      <w:r>
        <w:rPr>
          <w:lang w:eastAsia="ja-JP"/>
        </w:rPr>
        <w:t xml:space="preserve">A UE that supports soft satellite switching shall mandatorily support </w:t>
      </w:r>
      <w:r w:rsidRPr="00665F71">
        <w:rPr>
          <w:b w:val="0"/>
          <w:i/>
          <w:szCs w:val="21"/>
          <w:lang w:eastAsia="ja-JP"/>
        </w:rPr>
        <w:t>parallelMeasurementWithoutRestriction-r17</w:t>
      </w:r>
      <w:bookmarkEnd w:id="12"/>
    </w:p>
    <w:p w14:paraId="26F251FC" w14:textId="77777777" w:rsidR="00424A1C" w:rsidRPr="007D4BF6" w:rsidRDefault="00424A1C" w:rsidP="007D4BF6">
      <w:pPr>
        <w:rPr>
          <w:lang w:val="en-US"/>
        </w:rPr>
      </w:pPr>
    </w:p>
    <w:p w14:paraId="3C801DA3" w14:textId="3EAA6573" w:rsidR="00683C36" w:rsidRDefault="00683C36" w:rsidP="00683C36">
      <w:pPr>
        <w:pStyle w:val="RAN4H2"/>
        <w:rPr>
          <w:lang w:val="en-US"/>
        </w:rPr>
      </w:pPr>
      <w:r>
        <w:rPr>
          <w:lang w:val="en-US"/>
        </w:rPr>
        <w:t>Reply to RAN2 LS R2-2403771</w:t>
      </w:r>
    </w:p>
    <w:p w14:paraId="4559E64A" w14:textId="065C6871" w:rsidR="00683C36" w:rsidRDefault="009F495D" w:rsidP="00683C36">
      <w:pPr>
        <w:rPr>
          <w:lang w:val="en-US"/>
        </w:rPr>
      </w:pPr>
      <w:r>
        <w:rPr>
          <w:lang w:val="en-US"/>
        </w:rPr>
        <w:t xml:space="preserve">RAN2 has sent an LS to RAN4 in </w:t>
      </w:r>
      <w:r>
        <w:rPr>
          <w:lang w:val="en-US"/>
        </w:rPr>
        <w:fldChar w:fldCharType="begin"/>
      </w:r>
      <w:r>
        <w:rPr>
          <w:lang w:val="en-US"/>
        </w:rPr>
        <w:instrText xml:space="preserve"> REF _Ref166143456 \r \h </w:instrText>
      </w:r>
      <w:r>
        <w:rPr>
          <w:lang w:val="en-US"/>
        </w:rPr>
      </w:r>
      <w:r>
        <w:rPr>
          <w:lang w:val="en-US"/>
        </w:rPr>
        <w:fldChar w:fldCharType="separate"/>
      </w:r>
      <w:r>
        <w:rPr>
          <w:lang w:val="en-US"/>
        </w:rPr>
        <w:t>[7]</w:t>
      </w:r>
      <w:r>
        <w:rPr>
          <w:lang w:val="en-US"/>
        </w:rPr>
        <w:fldChar w:fldCharType="end"/>
      </w:r>
      <w:r>
        <w:rPr>
          <w:lang w:val="en-US"/>
        </w:rPr>
        <w:t xml:space="preserve">. In this LS RAN2 asks RAN4 opinion whether it is acceptable to transfer the reference point for </w:t>
      </w:r>
      <w:proofErr w:type="spellStart"/>
      <w:r w:rsidRPr="009F495D">
        <w:rPr>
          <w:lang w:val="en-US"/>
        </w:rPr>
        <w:t>ssb-TimeOffset</w:t>
      </w:r>
      <w:proofErr w:type="spellEnd"/>
      <w:r>
        <w:rPr>
          <w:lang w:val="en-US"/>
        </w:rPr>
        <w:t xml:space="preserve"> present in SIB19 from the UL synchronization point to the </w:t>
      </w:r>
      <w:proofErr w:type="spellStart"/>
      <w:r>
        <w:rPr>
          <w:lang w:val="en-US"/>
        </w:rPr>
        <w:t>gNB</w:t>
      </w:r>
      <w:proofErr w:type="spellEnd"/>
      <w:r>
        <w:rPr>
          <w:lang w:val="en-US"/>
        </w:rPr>
        <w:t>.</w:t>
      </w:r>
    </w:p>
    <w:p w14:paraId="2B3523FB" w14:textId="240DBCDF" w:rsidR="009F495D" w:rsidRDefault="009F495D" w:rsidP="00683C36">
      <w:pPr>
        <w:rPr>
          <w:lang w:val="en-US"/>
        </w:rPr>
      </w:pPr>
      <w:r>
        <w:rPr>
          <w:lang w:val="en-US"/>
        </w:rPr>
        <w:t xml:space="preserve">First of all, it is important to clarify that </w:t>
      </w:r>
      <w:proofErr w:type="spellStart"/>
      <w:r w:rsidRPr="009F495D">
        <w:rPr>
          <w:lang w:val="en-US"/>
        </w:rPr>
        <w:t>ssb-TimeOffset</w:t>
      </w:r>
      <w:proofErr w:type="spellEnd"/>
      <w:r>
        <w:rPr>
          <w:lang w:val="en-US"/>
        </w:rPr>
        <w:t xml:space="preserve"> is used with the purpose to allow the UE to calculate the contribution of the propagation delay difference in the reception of the DL reference time from source and target satellite. The ultimate objective is to allow the UE to rightfully position its SMTC window. From this perspective, moving the reference point from the UL synchronization point to the </w:t>
      </w:r>
      <w:proofErr w:type="spellStart"/>
      <w:r>
        <w:rPr>
          <w:lang w:val="en-US"/>
        </w:rPr>
        <w:t>gNB</w:t>
      </w:r>
      <w:proofErr w:type="spellEnd"/>
      <w:r>
        <w:rPr>
          <w:lang w:val="en-US"/>
        </w:rPr>
        <w:t xml:space="preserve"> will only facilitate UEs calculation, as the propagation delay difference will become only a byproduct of the common delay and ephemeris position of source and target satellites. </w:t>
      </w:r>
    </w:p>
    <w:p w14:paraId="224524BC" w14:textId="342AA9DC" w:rsidR="009F495D" w:rsidRDefault="009F495D" w:rsidP="00683C36">
      <w:pPr>
        <w:rPr>
          <w:lang w:val="en-US"/>
        </w:rPr>
      </w:pPr>
      <w:r>
        <w:rPr>
          <w:lang w:val="en-US"/>
        </w:rPr>
        <w:t>Therefore, we propose:</w:t>
      </w:r>
    </w:p>
    <w:p w14:paraId="4F5E5372" w14:textId="0A8A61FD" w:rsidR="009F495D" w:rsidRPr="00683C36" w:rsidRDefault="009F495D" w:rsidP="009F495D">
      <w:pPr>
        <w:pStyle w:val="RAN4proposal"/>
        <w:rPr>
          <w:lang w:val="en-US"/>
        </w:rPr>
      </w:pPr>
      <w:bookmarkStart w:id="13" w:name="_Toc166505343"/>
      <w:r>
        <w:rPr>
          <w:lang w:val="en-US"/>
        </w:rPr>
        <w:t xml:space="preserve">Confirm to RAN2 that it is acceptable moving the reference point of </w:t>
      </w:r>
      <w:proofErr w:type="spellStart"/>
      <w:r>
        <w:rPr>
          <w:lang w:val="en-US"/>
        </w:rPr>
        <w:t>ssb-TimeOffset</w:t>
      </w:r>
      <w:proofErr w:type="spellEnd"/>
      <w:r>
        <w:rPr>
          <w:lang w:val="en-US"/>
        </w:rPr>
        <w:t xml:space="preserve"> from UL synchronization point to the </w:t>
      </w:r>
      <w:proofErr w:type="spellStart"/>
      <w:r>
        <w:rPr>
          <w:lang w:val="en-US"/>
        </w:rPr>
        <w:t>gNB</w:t>
      </w:r>
      <w:proofErr w:type="spellEnd"/>
      <w:r>
        <w:rPr>
          <w:lang w:val="en-US"/>
        </w:rPr>
        <w:t>.</w:t>
      </w:r>
      <w:bookmarkEnd w:id="13"/>
    </w:p>
    <w:p w14:paraId="6DE4450B" w14:textId="16918622" w:rsidR="00E34BBA" w:rsidRPr="008C39F7" w:rsidRDefault="00E34BBA" w:rsidP="00E34BBA">
      <w:pPr>
        <w:pStyle w:val="RAN4H1"/>
      </w:pPr>
      <w:bookmarkStart w:id="14" w:name="_Toc116995848"/>
      <w:bookmarkStart w:id="15" w:name="_Toc116995849"/>
      <w:r w:rsidRPr="008C39F7">
        <w:lastRenderedPageBreak/>
        <w:t>Conclusion</w:t>
      </w:r>
      <w:bookmarkEnd w:id="14"/>
    </w:p>
    <w:p w14:paraId="4BA2BF40" w14:textId="07183801" w:rsidR="00E34BBA" w:rsidRPr="008C39F7" w:rsidRDefault="00E34BBA" w:rsidP="00E34BBA">
      <w:r w:rsidRPr="0023526B">
        <w:t xml:space="preserve">The paper has discussed the </w:t>
      </w:r>
      <w:r>
        <w:t xml:space="preserve">need of side conditions for the applicability of </w:t>
      </w:r>
      <w:r w:rsidR="009F495D">
        <w:t>mobility requirements for enhanced mobility features in NTN. The following observations and proposals were made:</w:t>
      </w:r>
    </w:p>
    <w:p w14:paraId="341140F2" w14:textId="0DBFB60C" w:rsidR="000F022A" w:rsidRDefault="00E34BBA">
      <w:pPr>
        <w:pStyle w:val="TOC1"/>
        <w:rPr>
          <w:rFonts w:asciiTheme="minorHAnsi" w:eastAsiaTheme="minorEastAsia" w:hAnsiTheme="minorHAnsi"/>
          <w:b w:val="0"/>
          <w:iCs w:val="0"/>
          <w:kern w:val="2"/>
          <w:sz w:val="22"/>
          <w:lang w:eastAsia="zh-CN"/>
          <w14:ligatures w14:val="standardContextual"/>
        </w:rPr>
      </w:pPr>
      <w:r>
        <w:fldChar w:fldCharType="begin"/>
      </w:r>
      <w:r>
        <w:instrText xml:space="preserve"> TOC \n \h \z \t "RAN4 proposal;1;RAN4 observation;1" </w:instrText>
      </w:r>
      <w:r>
        <w:fldChar w:fldCharType="separate"/>
      </w:r>
      <w:hyperlink w:anchor="_Toc166505336" w:history="1">
        <w:r w:rsidR="000F022A" w:rsidRPr="005E52F6">
          <w:rPr>
            <w:rStyle w:val="Hyperlink"/>
            <w:lang w:val="en-US"/>
          </w:rPr>
          <w:t>Proposal 1: When soft satellite switching is implemented by the network and the UE supports only hard satellite switching, the UE performs hard satellite switching and the corresponding requirements are applicable to this .</w:t>
        </w:r>
      </w:hyperlink>
    </w:p>
    <w:p w14:paraId="14F5591C" w14:textId="379330DE" w:rsidR="000F022A" w:rsidRDefault="000F022A">
      <w:pPr>
        <w:pStyle w:val="TOC1"/>
        <w:rPr>
          <w:rFonts w:asciiTheme="minorHAnsi" w:eastAsiaTheme="minorEastAsia" w:hAnsiTheme="minorHAnsi"/>
          <w:b w:val="0"/>
          <w:iCs w:val="0"/>
          <w:kern w:val="2"/>
          <w:sz w:val="22"/>
          <w:lang w:eastAsia="zh-CN"/>
          <w14:ligatures w14:val="standardContextual"/>
        </w:rPr>
      </w:pPr>
      <w:hyperlink w:anchor="_Toc166505337" w:history="1">
        <w:r w:rsidRPr="005E52F6">
          <w:rPr>
            <w:rStyle w:val="Hyperlink"/>
            <w:lang w:val="en-US"/>
          </w:rPr>
          <w:t>Proposal 2: Because the UE is allowed to skip measurements in neighbor cells during soft satellite switching, the total timing to detect neighbor cells has to be extended.</w:t>
        </w:r>
      </w:hyperlink>
    </w:p>
    <w:p w14:paraId="23684ECE" w14:textId="70F33BF7" w:rsidR="000F022A" w:rsidRDefault="000F022A">
      <w:pPr>
        <w:pStyle w:val="TOC1"/>
        <w:rPr>
          <w:rFonts w:asciiTheme="minorHAnsi" w:eastAsiaTheme="minorEastAsia" w:hAnsiTheme="minorHAnsi"/>
          <w:b w:val="0"/>
          <w:iCs w:val="0"/>
          <w:kern w:val="2"/>
          <w:sz w:val="22"/>
          <w:lang w:eastAsia="zh-CN"/>
          <w14:ligatures w14:val="standardContextual"/>
        </w:rPr>
      </w:pPr>
      <w:hyperlink w:anchor="_Toc166505338" w:history="1">
        <w:r w:rsidRPr="005E52F6">
          <w:rPr>
            <w:rStyle w:val="Hyperlink"/>
            <w:lang w:val="en-US"/>
          </w:rPr>
          <w:t>Proposal 3: The UE is allowed to skip measurement gaps not associated to the satellite switching from the duration of t-serviceStart and t-service.</w:t>
        </w:r>
      </w:hyperlink>
    </w:p>
    <w:p w14:paraId="73A4012F" w14:textId="2FCBE732" w:rsidR="000F022A" w:rsidRDefault="000F022A">
      <w:pPr>
        <w:pStyle w:val="TOC1"/>
        <w:rPr>
          <w:rFonts w:asciiTheme="minorHAnsi" w:eastAsiaTheme="minorEastAsia" w:hAnsiTheme="minorHAnsi"/>
          <w:b w:val="0"/>
          <w:iCs w:val="0"/>
          <w:kern w:val="2"/>
          <w:sz w:val="22"/>
          <w:lang w:eastAsia="zh-CN"/>
          <w14:ligatures w14:val="standardContextual"/>
        </w:rPr>
      </w:pPr>
      <w:hyperlink w:anchor="_Toc166505339" w:history="1">
        <w:r w:rsidRPr="005E52F6">
          <w:rPr>
            <w:rStyle w:val="Hyperlink"/>
            <w:lang w:val="en-US"/>
          </w:rPr>
          <w:t>Proposal 4: The UE is allowed to skip measurement gaps not associated to the satellite switching from the duration of t-serviceStart and t-service.</w:t>
        </w:r>
      </w:hyperlink>
    </w:p>
    <w:p w14:paraId="75CE6BCC" w14:textId="5DC00A94" w:rsidR="000F022A" w:rsidRDefault="000F022A">
      <w:pPr>
        <w:pStyle w:val="TOC1"/>
        <w:rPr>
          <w:rFonts w:asciiTheme="minorHAnsi" w:eastAsiaTheme="minorEastAsia" w:hAnsiTheme="minorHAnsi"/>
          <w:b w:val="0"/>
          <w:iCs w:val="0"/>
          <w:kern w:val="2"/>
          <w:sz w:val="22"/>
          <w:lang w:eastAsia="zh-CN"/>
          <w14:ligatures w14:val="standardContextual"/>
        </w:rPr>
      </w:pPr>
      <w:hyperlink w:anchor="_Toc166505340" w:history="1">
        <w:r w:rsidRPr="005E52F6">
          <w:rPr>
            <w:rStyle w:val="Hyperlink"/>
            <w:lang w:val="en-US"/>
          </w:rPr>
          <w:t>Proposal 5: Measurement gaps or SMTCs colliding with RLM-RS are not  accounted for during soft satellite switching operation.</w:t>
        </w:r>
      </w:hyperlink>
    </w:p>
    <w:p w14:paraId="0B0A578A" w14:textId="0810976F" w:rsidR="000F022A" w:rsidRDefault="000F022A">
      <w:pPr>
        <w:pStyle w:val="TOC1"/>
        <w:rPr>
          <w:rFonts w:asciiTheme="minorHAnsi" w:eastAsiaTheme="minorEastAsia" w:hAnsiTheme="minorHAnsi"/>
          <w:b w:val="0"/>
          <w:iCs w:val="0"/>
          <w:kern w:val="2"/>
          <w:sz w:val="22"/>
          <w:lang w:eastAsia="zh-CN"/>
          <w14:ligatures w14:val="standardContextual"/>
        </w:rPr>
      </w:pPr>
      <w:hyperlink w:anchor="_Toc166505341" w:history="1">
        <w:r w:rsidRPr="005E52F6">
          <w:rPr>
            <w:rStyle w:val="Hyperlink"/>
            <w:lang w:eastAsia="ja-JP"/>
          </w:rPr>
          <w:t>Proposal 6: Soft satellite switching requirements do not apply if the propagation delay difference is larger than 2 ms.</w:t>
        </w:r>
      </w:hyperlink>
    </w:p>
    <w:p w14:paraId="26CD084D" w14:textId="0E040DDD" w:rsidR="000F022A" w:rsidRDefault="000F022A">
      <w:pPr>
        <w:pStyle w:val="TOC1"/>
        <w:rPr>
          <w:rFonts w:asciiTheme="minorHAnsi" w:eastAsiaTheme="minorEastAsia" w:hAnsiTheme="minorHAnsi"/>
          <w:b w:val="0"/>
          <w:iCs w:val="0"/>
          <w:kern w:val="2"/>
          <w:sz w:val="22"/>
          <w:lang w:eastAsia="zh-CN"/>
          <w14:ligatures w14:val="standardContextual"/>
        </w:rPr>
      </w:pPr>
      <w:hyperlink w:anchor="_Toc166505342" w:history="1">
        <w:r w:rsidRPr="005E52F6">
          <w:rPr>
            <w:rStyle w:val="Hyperlink"/>
            <w:lang w:eastAsia="ja-JP"/>
          </w:rPr>
          <w:t xml:space="preserve">Proposal 7: A UE that supports soft satellite switching shall mandatorily support </w:t>
        </w:r>
        <w:r w:rsidRPr="005E52F6">
          <w:rPr>
            <w:rStyle w:val="Hyperlink"/>
            <w:i/>
            <w:lang w:eastAsia="ja-JP"/>
          </w:rPr>
          <w:t>parallelMeasurementWithoutRestriction-r17</w:t>
        </w:r>
      </w:hyperlink>
    </w:p>
    <w:p w14:paraId="22C42A2C" w14:textId="785FFABC" w:rsidR="000F022A" w:rsidRDefault="000F022A">
      <w:pPr>
        <w:pStyle w:val="TOC1"/>
        <w:rPr>
          <w:rFonts w:asciiTheme="minorHAnsi" w:eastAsiaTheme="minorEastAsia" w:hAnsiTheme="minorHAnsi"/>
          <w:b w:val="0"/>
          <w:iCs w:val="0"/>
          <w:kern w:val="2"/>
          <w:sz w:val="22"/>
          <w:lang w:eastAsia="zh-CN"/>
          <w14:ligatures w14:val="standardContextual"/>
        </w:rPr>
      </w:pPr>
      <w:hyperlink w:anchor="_Toc166505343" w:history="1">
        <w:r w:rsidRPr="005E52F6">
          <w:rPr>
            <w:rStyle w:val="Hyperlink"/>
            <w:lang w:val="en-US"/>
          </w:rPr>
          <w:t>Proposal 8: Confirm to RAN2 that it is acceptable moving the reference point of ssb-TimeOffset from UL synchronization point to the gNB.</w:t>
        </w:r>
      </w:hyperlink>
    </w:p>
    <w:p w14:paraId="00A0EF07" w14:textId="5A92964D" w:rsidR="00BD647D" w:rsidRDefault="00E34BBA" w:rsidP="00E34BBA">
      <w:pPr>
        <w:rPr>
          <w:lang w:val="en-US"/>
        </w:rPr>
      </w:pPr>
      <w:r>
        <w:fldChar w:fldCharType="end"/>
      </w:r>
    </w:p>
    <w:p w14:paraId="218CFCEE"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5"/>
    </w:p>
    <w:p w14:paraId="38CFFCE5" w14:textId="77777777" w:rsidR="004E7EC0" w:rsidRDefault="004E7EC0" w:rsidP="004E7EC0">
      <w:pPr>
        <w:numPr>
          <w:ilvl w:val="0"/>
          <w:numId w:val="21"/>
        </w:numPr>
        <w:overflowPunct w:val="0"/>
        <w:autoSpaceDE w:val="0"/>
        <w:autoSpaceDN w:val="0"/>
        <w:adjustRightInd w:val="0"/>
        <w:spacing w:after="0" w:line="240" w:lineRule="auto"/>
        <w:jc w:val="both"/>
        <w:textAlignment w:val="baseline"/>
      </w:pPr>
      <w:bookmarkStart w:id="16" w:name="_Ref114500673"/>
      <w:bookmarkStart w:id="17" w:name="_Ref54013899"/>
      <w:bookmarkStart w:id="18" w:name="_Ref141960737"/>
      <w:bookmarkStart w:id="19" w:name="_Ref118130196"/>
      <w:bookmarkStart w:id="20" w:name="_Ref158813489"/>
      <w:bookmarkEnd w:id="16"/>
      <w:r w:rsidRPr="00FD51CE">
        <w:t>RP-223534</w:t>
      </w:r>
      <w:r w:rsidRPr="00FF6B64">
        <w:t xml:space="preserve">, </w:t>
      </w:r>
      <w:bookmarkEnd w:id="17"/>
      <w:r w:rsidRPr="00917899">
        <w:rPr>
          <w:i/>
          <w:iCs/>
        </w:rPr>
        <w:t>“NR NTN (Non-Terrestrial Networks) enhancements”</w:t>
      </w:r>
      <w:r>
        <w:t>, Thales</w:t>
      </w:r>
      <w:bookmarkEnd w:id="18"/>
    </w:p>
    <w:p w14:paraId="396FF365" w14:textId="026B9BF0" w:rsidR="00665F71" w:rsidRDefault="00665F71" w:rsidP="004E7EC0">
      <w:pPr>
        <w:pStyle w:val="ListParagraph"/>
        <w:numPr>
          <w:ilvl w:val="0"/>
          <w:numId w:val="21"/>
        </w:numPr>
        <w:ind w:right="-22"/>
      </w:pPr>
      <w:bookmarkStart w:id="21" w:name="_Ref166075839"/>
      <w:bookmarkStart w:id="22" w:name="_Ref158818293"/>
      <w:bookmarkStart w:id="23" w:name="_Ref163487327"/>
      <w:r w:rsidRPr="00665F71">
        <w:t>R4-2406430</w:t>
      </w:r>
      <w:r>
        <w:t>, “</w:t>
      </w:r>
      <w:r w:rsidRPr="00665F71">
        <w:rPr>
          <w:i/>
          <w:iCs/>
        </w:rPr>
        <w:t xml:space="preserve">WF on RRM requirements for </w:t>
      </w:r>
      <w:proofErr w:type="spellStart"/>
      <w:r w:rsidRPr="00665F71">
        <w:rPr>
          <w:i/>
          <w:iCs/>
        </w:rPr>
        <w:t>NR_NTN_enh</w:t>
      </w:r>
      <w:proofErr w:type="spellEnd"/>
      <w:r>
        <w:rPr>
          <w:i/>
          <w:iCs/>
        </w:rPr>
        <w:t xml:space="preserve">”, </w:t>
      </w:r>
      <w:r w:rsidRPr="00665F71">
        <w:t>Changsha, China, 15th – 19th April, 2024</w:t>
      </w:r>
      <w:bookmarkEnd w:id="21"/>
    </w:p>
    <w:p w14:paraId="267010A7" w14:textId="3C5F91FA" w:rsidR="004E7EC0" w:rsidRDefault="004E7EC0" w:rsidP="004E7EC0">
      <w:pPr>
        <w:pStyle w:val="ListParagraph"/>
        <w:numPr>
          <w:ilvl w:val="0"/>
          <w:numId w:val="21"/>
        </w:numPr>
        <w:ind w:right="-22"/>
      </w:pPr>
      <w:bookmarkStart w:id="24" w:name="_Ref166075865"/>
      <w:r w:rsidRPr="0086642C">
        <w:t>R4-2403492</w:t>
      </w:r>
      <w:r>
        <w:t xml:space="preserve">, </w:t>
      </w:r>
      <w:r w:rsidRPr="0086642C">
        <w:rPr>
          <w:rFonts w:cs="Arial"/>
          <w:i/>
          <w:iCs/>
          <w:sz w:val="18"/>
          <w:szCs w:val="18"/>
        </w:rPr>
        <w:t xml:space="preserve">WF on NTN RRM requirements, </w:t>
      </w:r>
      <w:r w:rsidRPr="0099133A">
        <w:t xml:space="preserve">Moderator (Qualcomm Incorporated), </w:t>
      </w:r>
      <w:r w:rsidRPr="00381F95">
        <w:t>RAN</w:t>
      </w:r>
      <w:r>
        <w:t>4</w:t>
      </w:r>
      <w:r w:rsidRPr="00381F95">
        <w:t>#1</w:t>
      </w:r>
      <w:r>
        <w:t>10</w:t>
      </w:r>
      <w:r w:rsidRPr="00381F95">
        <w:t xml:space="preserve">, </w:t>
      </w:r>
      <w:bookmarkEnd w:id="22"/>
      <w:r w:rsidRPr="0086642C">
        <w:t>Athens,</w:t>
      </w:r>
      <w:r>
        <w:t xml:space="preserve"> Greece</w:t>
      </w:r>
      <w:r w:rsidRPr="0086642C">
        <w:t>, 26 Feb – 01 Mar, 2024</w:t>
      </w:r>
      <w:bookmarkEnd w:id="23"/>
      <w:bookmarkEnd w:id="24"/>
    </w:p>
    <w:p w14:paraId="2F499D38" w14:textId="77777777" w:rsidR="00424A1C" w:rsidRDefault="00424A1C" w:rsidP="00424A1C">
      <w:pPr>
        <w:pStyle w:val="ListParagraph"/>
        <w:numPr>
          <w:ilvl w:val="0"/>
          <w:numId w:val="21"/>
        </w:numPr>
      </w:pPr>
      <w:bookmarkStart w:id="25" w:name="_Ref163475821"/>
      <w:r w:rsidRPr="008A32D3">
        <w:t>R4-240</w:t>
      </w:r>
      <w:r>
        <w:t>3493</w:t>
      </w:r>
      <w:r w:rsidRPr="008A32D3">
        <w:t xml:space="preserve">, </w:t>
      </w:r>
      <w:r w:rsidRPr="0062096E">
        <w:t>Reply LS on RAN2 agreements for satellite switch with resync</w:t>
      </w:r>
      <w:r w:rsidRPr="008A32D3">
        <w:t xml:space="preserve">, </w:t>
      </w:r>
      <w:r>
        <w:t>Apple</w:t>
      </w:r>
      <w:r w:rsidRPr="008A32D3">
        <w:t>, RAN4#110, Athens, Greece, 26 Feb – 01 Mar, 2024</w:t>
      </w:r>
      <w:bookmarkEnd w:id="25"/>
    </w:p>
    <w:p w14:paraId="28ED8F4A" w14:textId="4C277341" w:rsidR="00192557" w:rsidRPr="008A32D3" w:rsidRDefault="00192557" w:rsidP="00424A1C">
      <w:pPr>
        <w:pStyle w:val="ListParagraph"/>
        <w:numPr>
          <w:ilvl w:val="0"/>
          <w:numId w:val="21"/>
        </w:numPr>
      </w:pPr>
      <w:bookmarkStart w:id="26" w:name="_Ref166144118"/>
      <w:r w:rsidRPr="00192557">
        <w:t>R4-2405751</w:t>
      </w:r>
      <w:r>
        <w:t xml:space="preserve">, </w:t>
      </w:r>
      <w:r w:rsidRPr="00192557">
        <w:rPr>
          <w:i/>
          <w:iCs/>
        </w:rPr>
        <w:t>Discussion on Satellite switching with resynchronization</w:t>
      </w:r>
      <w:r>
        <w:rPr>
          <w:i/>
          <w:iCs/>
        </w:rPr>
        <w:t xml:space="preserve">, </w:t>
      </w:r>
      <w:r>
        <w:t>Nokia,</w:t>
      </w:r>
      <w:r w:rsidR="00BE0502">
        <w:t xml:space="preserve"> </w:t>
      </w:r>
      <w:r w:rsidR="00BE0502" w:rsidRPr="008A32D3">
        <w:t>RAN4#110</w:t>
      </w:r>
      <w:r w:rsidR="00BE0502">
        <w:t>bis,</w:t>
      </w:r>
      <w:r>
        <w:t xml:space="preserve"> </w:t>
      </w:r>
      <w:r w:rsidRPr="00192557">
        <w:t>Changsha, China, April 15 – April 19, 2024</w:t>
      </w:r>
      <w:bookmarkEnd w:id="26"/>
    </w:p>
    <w:p w14:paraId="367B3268" w14:textId="64832DC1" w:rsidR="00424A1C" w:rsidRPr="00BE0502" w:rsidRDefault="00B557F7" w:rsidP="00BE0502">
      <w:pPr>
        <w:pStyle w:val="ListParagraph"/>
        <w:numPr>
          <w:ilvl w:val="0"/>
          <w:numId w:val="21"/>
        </w:numPr>
      </w:pPr>
      <w:bookmarkStart w:id="27" w:name="_Ref166075138"/>
      <w:r w:rsidRPr="00BE0502">
        <w:t>R4-2405015,</w:t>
      </w:r>
      <w:bookmarkEnd w:id="27"/>
      <w:r w:rsidRPr="00BE0502">
        <w:t xml:space="preserve"> </w:t>
      </w:r>
      <w:r w:rsidR="00BE0502" w:rsidRPr="00BE0502">
        <w:rPr>
          <w:i/>
          <w:iCs/>
        </w:rPr>
        <w:t>Core requirements on NTN-TN and NTN-NTN mobility and service continuity</w:t>
      </w:r>
      <w:r w:rsidR="00BE0502" w:rsidRPr="00BE0502">
        <w:t xml:space="preserve">, Ericsson, </w:t>
      </w:r>
      <w:r w:rsidR="00BE0502" w:rsidRPr="008A32D3">
        <w:t>RAN4#110</w:t>
      </w:r>
      <w:r w:rsidR="00BE0502">
        <w:t>bis</w:t>
      </w:r>
      <w:r w:rsidR="00BE0502" w:rsidRPr="00BE0502">
        <w:t xml:space="preserve"> </w:t>
      </w:r>
      <w:r w:rsidR="00BE0502">
        <w:t>,</w:t>
      </w:r>
      <w:r w:rsidR="00BE0502" w:rsidRPr="00BE0502">
        <w:t>Changsha, China, April 15 – April 19, 2024</w:t>
      </w:r>
    </w:p>
    <w:p w14:paraId="308C5026" w14:textId="3120CBD1" w:rsidR="00BE0502" w:rsidRPr="008A32D3" w:rsidRDefault="009F495D" w:rsidP="00BE0502">
      <w:pPr>
        <w:pStyle w:val="ListParagraph"/>
        <w:numPr>
          <w:ilvl w:val="0"/>
          <w:numId w:val="21"/>
        </w:numPr>
      </w:pPr>
      <w:bookmarkStart w:id="28" w:name="_Ref166143456"/>
      <w:r>
        <w:rPr>
          <w:lang w:val="en-US"/>
        </w:rPr>
        <w:t>R2-2403771</w:t>
      </w:r>
      <w:bookmarkEnd w:id="28"/>
      <w:r w:rsidR="00BE0502">
        <w:rPr>
          <w:lang w:val="en-US"/>
        </w:rPr>
        <w:t xml:space="preserve">, </w:t>
      </w:r>
      <w:r w:rsidR="00BE0502" w:rsidRPr="00BE0502">
        <w:rPr>
          <w:lang w:val="en-US"/>
        </w:rPr>
        <w:t>LS on reference point for SSB-</w:t>
      </w:r>
      <w:proofErr w:type="spellStart"/>
      <w:r w:rsidR="00BE0502" w:rsidRPr="00BE0502">
        <w:rPr>
          <w:lang w:val="en-US"/>
        </w:rPr>
        <w:t>TimeOffset</w:t>
      </w:r>
      <w:proofErr w:type="spellEnd"/>
      <w:r w:rsidR="00BE0502">
        <w:rPr>
          <w:lang w:val="en-US"/>
        </w:rPr>
        <w:t xml:space="preserve">, Apple, RAN2 # 125bis, </w:t>
      </w:r>
      <w:r w:rsidR="00BE0502" w:rsidRPr="00192557">
        <w:t>Changsha, China, April 15 – April 19, 2024</w:t>
      </w:r>
    </w:p>
    <w:bookmarkEnd w:id="19"/>
    <w:bookmarkEnd w:id="20"/>
    <w:p w14:paraId="6C26B3FD" w14:textId="44B710F8" w:rsidR="00E43BF9" w:rsidRPr="00372776" w:rsidRDefault="00E43BF9" w:rsidP="00BE0502">
      <w:pPr>
        <w:ind w:right="-22"/>
      </w:pPr>
    </w:p>
    <w:sectPr w:rsidR="00E43BF9" w:rsidRPr="00372776" w:rsidSect="00B57CE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EA2F6" w14:textId="77777777" w:rsidR="00B57CEF" w:rsidRDefault="00B57CEF" w:rsidP="00001C9B">
      <w:pPr>
        <w:spacing w:after="0" w:line="240" w:lineRule="auto"/>
      </w:pPr>
      <w:r>
        <w:separator/>
      </w:r>
    </w:p>
  </w:endnote>
  <w:endnote w:type="continuationSeparator" w:id="0">
    <w:p w14:paraId="47DFB656" w14:textId="77777777" w:rsidR="00B57CEF" w:rsidRDefault="00B57CEF" w:rsidP="00001C9B">
      <w:pPr>
        <w:spacing w:after="0" w:line="240" w:lineRule="auto"/>
      </w:pPr>
      <w:r>
        <w:continuationSeparator/>
      </w:r>
    </w:p>
  </w:endnote>
  <w:endnote w:type="continuationNotice" w:id="1">
    <w:p w14:paraId="26DD6D6A" w14:textId="77777777" w:rsidR="00B57CEF" w:rsidRDefault="00B57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0D08A" w14:textId="77777777" w:rsidR="00B57CEF" w:rsidRDefault="00B57CEF" w:rsidP="00001C9B">
      <w:pPr>
        <w:spacing w:after="0" w:line="240" w:lineRule="auto"/>
      </w:pPr>
      <w:r>
        <w:separator/>
      </w:r>
    </w:p>
  </w:footnote>
  <w:footnote w:type="continuationSeparator" w:id="0">
    <w:p w14:paraId="1845792E" w14:textId="77777777" w:rsidR="00B57CEF" w:rsidRDefault="00B57CEF" w:rsidP="00001C9B">
      <w:pPr>
        <w:spacing w:after="0" w:line="240" w:lineRule="auto"/>
      </w:pPr>
      <w:r>
        <w:continuationSeparator/>
      </w:r>
    </w:p>
  </w:footnote>
  <w:footnote w:type="continuationNotice" w:id="1">
    <w:p w14:paraId="7D7A4FE0" w14:textId="77777777" w:rsidR="00B57CEF" w:rsidRDefault="00B57C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650F93"/>
    <w:multiLevelType w:val="hybridMultilevel"/>
    <w:tmpl w:val="B2D4F8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AA2B54"/>
    <w:multiLevelType w:val="hybridMultilevel"/>
    <w:tmpl w:val="DDAE0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893927055">
    <w:abstractNumId w:val="2"/>
  </w:num>
  <w:num w:numId="28" w16cid:durableId="768963453">
    <w:abstractNumId w:val="15"/>
  </w:num>
  <w:num w:numId="29" w16cid:durableId="843668308">
    <w:abstractNumId w:val="17"/>
  </w:num>
  <w:num w:numId="30" w16cid:durableId="1061708403">
    <w:abstractNumId w:val="8"/>
  </w:num>
  <w:num w:numId="31" w16cid:durableId="16251894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67F53"/>
    <w:rsid w:val="00001BD6"/>
    <w:rsid w:val="00001C9B"/>
    <w:rsid w:val="000040DC"/>
    <w:rsid w:val="00011784"/>
    <w:rsid w:val="000151EF"/>
    <w:rsid w:val="000239F5"/>
    <w:rsid w:val="00072CCA"/>
    <w:rsid w:val="0008612A"/>
    <w:rsid w:val="00090E18"/>
    <w:rsid w:val="000A10BC"/>
    <w:rsid w:val="000A7F53"/>
    <w:rsid w:val="000B0056"/>
    <w:rsid w:val="000C3C7B"/>
    <w:rsid w:val="000D0F93"/>
    <w:rsid w:val="000F022A"/>
    <w:rsid w:val="00106416"/>
    <w:rsid w:val="00110481"/>
    <w:rsid w:val="001127C9"/>
    <w:rsid w:val="00114498"/>
    <w:rsid w:val="00115B88"/>
    <w:rsid w:val="00122F95"/>
    <w:rsid w:val="00132F6A"/>
    <w:rsid w:val="00133913"/>
    <w:rsid w:val="00140221"/>
    <w:rsid w:val="001642FC"/>
    <w:rsid w:val="0016496B"/>
    <w:rsid w:val="001743E2"/>
    <w:rsid w:val="001745F8"/>
    <w:rsid w:val="001838CF"/>
    <w:rsid w:val="001868EE"/>
    <w:rsid w:val="00186AAD"/>
    <w:rsid w:val="00192557"/>
    <w:rsid w:val="001A3BA4"/>
    <w:rsid w:val="001A6D1F"/>
    <w:rsid w:val="001B1EA8"/>
    <w:rsid w:val="001C5F50"/>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12C0"/>
    <w:rsid w:val="00317187"/>
    <w:rsid w:val="0031722C"/>
    <w:rsid w:val="0032499A"/>
    <w:rsid w:val="003341F7"/>
    <w:rsid w:val="00347FEC"/>
    <w:rsid w:val="003509DF"/>
    <w:rsid w:val="00356F45"/>
    <w:rsid w:val="00366B74"/>
    <w:rsid w:val="00372776"/>
    <w:rsid w:val="00372D55"/>
    <w:rsid w:val="00381F95"/>
    <w:rsid w:val="00382F19"/>
    <w:rsid w:val="003A710A"/>
    <w:rsid w:val="003B659E"/>
    <w:rsid w:val="003C275E"/>
    <w:rsid w:val="003C4FDE"/>
    <w:rsid w:val="003E58DF"/>
    <w:rsid w:val="00404C4C"/>
    <w:rsid w:val="0041423F"/>
    <w:rsid w:val="00414A70"/>
    <w:rsid w:val="00414F81"/>
    <w:rsid w:val="004159C2"/>
    <w:rsid w:val="00424A1C"/>
    <w:rsid w:val="00436A0F"/>
    <w:rsid w:val="00437150"/>
    <w:rsid w:val="0043750A"/>
    <w:rsid w:val="00447577"/>
    <w:rsid w:val="004732E9"/>
    <w:rsid w:val="004854BB"/>
    <w:rsid w:val="00486DAA"/>
    <w:rsid w:val="0049393F"/>
    <w:rsid w:val="00494493"/>
    <w:rsid w:val="00496606"/>
    <w:rsid w:val="004E5219"/>
    <w:rsid w:val="004E5E66"/>
    <w:rsid w:val="004E7ADB"/>
    <w:rsid w:val="004E7EC0"/>
    <w:rsid w:val="004F2D2F"/>
    <w:rsid w:val="00503B4D"/>
    <w:rsid w:val="00504EE9"/>
    <w:rsid w:val="00514E4F"/>
    <w:rsid w:val="00521576"/>
    <w:rsid w:val="0052285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6501"/>
    <w:rsid w:val="00617400"/>
    <w:rsid w:val="006308C2"/>
    <w:rsid w:val="00632D29"/>
    <w:rsid w:val="00664950"/>
    <w:rsid w:val="00665F71"/>
    <w:rsid w:val="00667F53"/>
    <w:rsid w:val="00683220"/>
    <w:rsid w:val="00683C36"/>
    <w:rsid w:val="00687FA0"/>
    <w:rsid w:val="006A3C11"/>
    <w:rsid w:val="006B7010"/>
    <w:rsid w:val="006C3095"/>
    <w:rsid w:val="006E1151"/>
    <w:rsid w:val="006E6311"/>
    <w:rsid w:val="007145FF"/>
    <w:rsid w:val="00715B2A"/>
    <w:rsid w:val="00733B21"/>
    <w:rsid w:val="007450F1"/>
    <w:rsid w:val="00746507"/>
    <w:rsid w:val="00751515"/>
    <w:rsid w:val="00753C69"/>
    <w:rsid w:val="007626B7"/>
    <w:rsid w:val="0078212B"/>
    <w:rsid w:val="00784DF6"/>
    <w:rsid w:val="00785232"/>
    <w:rsid w:val="007B186C"/>
    <w:rsid w:val="007B7198"/>
    <w:rsid w:val="007C1696"/>
    <w:rsid w:val="007C3ED0"/>
    <w:rsid w:val="007C48C4"/>
    <w:rsid w:val="007C5971"/>
    <w:rsid w:val="007D4BF6"/>
    <w:rsid w:val="007E42DC"/>
    <w:rsid w:val="007F54B9"/>
    <w:rsid w:val="00806A76"/>
    <w:rsid w:val="00811C9D"/>
    <w:rsid w:val="00816C80"/>
    <w:rsid w:val="0081797B"/>
    <w:rsid w:val="00841BCD"/>
    <w:rsid w:val="00844FB5"/>
    <w:rsid w:val="00847264"/>
    <w:rsid w:val="00851A8E"/>
    <w:rsid w:val="0085365B"/>
    <w:rsid w:val="008709C6"/>
    <w:rsid w:val="008826C1"/>
    <w:rsid w:val="00883DFD"/>
    <w:rsid w:val="00883F23"/>
    <w:rsid w:val="00891FE6"/>
    <w:rsid w:val="0089210C"/>
    <w:rsid w:val="00893D2E"/>
    <w:rsid w:val="008A1BF7"/>
    <w:rsid w:val="008A5B0E"/>
    <w:rsid w:val="008B0961"/>
    <w:rsid w:val="008C39F7"/>
    <w:rsid w:val="008C3B6C"/>
    <w:rsid w:val="0090091A"/>
    <w:rsid w:val="009042BD"/>
    <w:rsid w:val="00904FE4"/>
    <w:rsid w:val="009151DE"/>
    <w:rsid w:val="00927740"/>
    <w:rsid w:val="009302C1"/>
    <w:rsid w:val="00936159"/>
    <w:rsid w:val="00977E1D"/>
    <w:rsid w:val="00982E2F"/>
    <w:rsid w:val="009B0573"/>
    <w:rsid w:val="009B416B"/>
    <w:rsid w:val="009B7B4B"/>
    <w:rsid w:val="009B7C21"/>
    <w:rsid w:val="009E4E6E"/>
    <w:rsid w:val="009F495D"/>
    <w:rsid w:val="00A04992"/>
    <w:rsid w:val="00A04D8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557F7"/>
    <w:rsid w:val="00B57CEF"/>
    <w:rsid w:val="00B73862"/>
    <w:rsid w:val="00B73F43"/>
    <w:rsid w:val="00B75BBF"/>
    <w:rsid w:val="00B81CDC"/>
    <w:rsid w:val="00BA308C"/>
    <w:rsid w:val="00BA6B66"/>
    <w:rsid w:val="00BA6E48"/>
    <w:rsid w:val="00BB7CB2"/>
    <w:rsid w:val="00BD647D"/>
    <w:rsid w:val="00BE0502"/>
    <w:rsid w:val="00BE0AF6"/>
    <w:rsid w:val="00BE1F03"/>
    <w:rsid w:val="00BE58A7"/>
    <w:rsid w:val="00BF2218"/>
    <w:rsid w:val="00C0426B"/>
    <w:rsid w:val="00C045DF"/>
    <w:rsid w:val="00C07064"/>
    <w:rsid w:val="00C238E7"/>
    <w:rsid w:val="00C26D43"/>
    <w:rsid w:val="00C35173"/>
    <w:rsid w:val="00C46548"/>
    <w:rsid w:val="00C52756"/>
    <w:rsid w:val="00C574D5"/>
    <w:rsid w:val="00C73B08"/>
    <w:rsid w:val="00C73F32"/>
    <w:rsid w:val="00C87462"/>
    <w:rsid w:val="00CA180C"/>
    <w:rsid w:val="00CA519F"/>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248"/>
    <w:rsid w:val="00D85728"/>
    <w:rsid w:val="00D95481"/>
    <w:rsid w:val="00DC7A13"/>
    <w:rsid w:val="00DE7064"/>
    <w:rsid w:val="00DF2997"/>
    <w:rsid w:val="00E10BC4"/>
    <w:rsid w:val="00E1415D"/>
    <w:rsid w:val="00E213BD"/>
    <w:rsid w:val="00E323E9"/>
    <w:rsid w:val="00E32FB6"/>
    <w:rsid w:val="00E34018"/>
    <w:rsid w:val="00E34BBA"/>
    <w:rsid w:val="00E35FDE"/>
    <w:rsid w:val="00E437D2"/>
    <w:rsid w:val="00E43BF9"/>
    <w:rsid w:val="00E51930"/>
    <w:rsid w:val="00E55751"/>
    <w:rsid w:val="00E7398E"/>
    <w:rsid w:val="00EA2311"/>
    <w:rsid w:val="00EB64C5"/>
    <w:rsid w:val="00EC7BC3"/>
    <w:rsid w:val="00ED7600"/>
    <w:rsid w:val="00EF6073"/>
    <w:rsid w:val="00EF698B"/>
    <w:rsid w:val="00F1362C"/>
    <w:rsid w:val="00F4054A"/>
    <w:rsid w:val="00F414F1"/>
    <w:rsid w:val="00F508B8"/>
    <w:rsid w:val="00F72CB1"/>
    <w:rsid w:val="00F8215E"/>
    <w:rsid w:val="00F824F5"/>
    <w:rsid w:val="00F90FAB"/>
    <w:rsid w:val="00F9374D"/>
    <w:rsid w:val="00FA0EEE"/>
    <w:rsid w:val="00FB4743"/>
    <w:rsid w:val="00FC29B9"/>
    <w:rsid w:val="00FC6FD3"/>
    <w:rsid w:val="00FE305C"/>
    <w:rsid w:val="00FE4BB0"/>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1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 w:hAnsi="@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character" w:customStyle="1" w:styleId="CaptionChar1">
    <w:name w:val="Caption Char1"/>
    <w:aliases w:val="cap Char1,cap Char Char,Caption Char Char,Caption Char1 Char Char,cap Char Char1 Char,Caption Char Char1 Char Char,cap Char2 Char,题注 Char"/>
    <w:uiPriority w:val="35"/>
    <w:semiHidden/>
    <w:locked/>
    <w:rsid w:val="00414A70"/>
    <w:rPr>
      <w:b/>
      <w:kern w:val="2"/>
      <w:lang w:val="en-GB"/>
      <w14:ligatures w14:val="standardContextual"/>
    </w:rPr>
  </w:style>
  <w:style w:type="paragraph" w:styleId="Header">
    <w:name w:val="header"/>
    <w:basedOn w:val="Normal"/>
    <w:link w:val="HeaderChar"/>
    <w:uiPriority w:val="99"/>
    <w:unhideWhenUsed/>
    <w:rsid w:val="009151DE"/>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51DE"/>
    <w:rPr>
      <w:rFonts w:ascii="Times New Roman" w:hAnsi="Times New Roman"/>
      <w:sz w:val="20"/>
      <w:lang w:val="en-GB"/>
    </w:rPr>
  </w:style>
  <w:style w:type="paragraph" w:styleId="Footer">
    <w:name w:val="footer"/>
    <w:basedOn w:val="Normal"/>
    <w:link w:val="FooterChar"/>
    <w:uiPriority w:val="99"/>
    <w:unhideWhenUsed/>
    <w:rsid w:val="009151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51DE"/>
    <w:rPr>
      <w:rFonts w:ascii="Times New Roman" w:hAnsi="Times New Roman"/>
      <w:sz w:val="20"/>
      <w:lang w:val="en-GB"/>
    </w:rPr>
  </w:style>
  <w:style w:type="paragraph" w:customStyle="1" w:styleId="TAL">
    <w:name w:val="TAL"/>
    <w:basedOn w:val="Normal"/>
    <w:link w:val="TALCar"/>
    <w:qFormat/>
    <w:rsid w:val="00CA519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CA519F"/>
    <w:rPr>
      <w:rFonts w:ascii="Arial" w:eastAsia="Times New Roman" w:hAnsi="Arial" w:cs="Times New Roman"/>
      <w:sz w:val="18"/>
      <w:szCs w:val="20"/>
      <w:lang w:val="en-GB" w:eastAsia="ja-JP"/>
    </w:rPr>
  </w:style>
  <w:style w:type="character" w:styleId="Mention">
    <w:name w:val="Mention"/>
    <w:basedOn w:val="DefaultParagraphFont"/>
    <w:uiPriority w:val="99"/>
    <w:unhideWhenUsed/>
    <w:rsid w:val="00C73B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798688478">
      <w:bodyDiv w:val="1"/>
      <w:marLeft w:val="0"/>
      <w:marRight w:val="0"/>
      <w:marTop w:val="0"/>
      <w:marBottom w:val="0"/>
      <w:divBdr>
        <w:top w:val="none" w:sz="0" w:space="0" w:color="auto"/>
        <w:left w:val="none" w:sz="0" w:space="0" w:color="auto"/>
        <w:bottom w:val="none" w:sz="0" w:space="0" w:color="auto"/>
        <w:right w:val="none" w:sz="0" w:space="0" w:color="auto"/>
      </w:divBdr>
    </w:div>
    <w:div w:id="1088691371">
      <w:bodyDiv w:val="1"/>
      <w:marLeft w:val="0"/>
      <w:marRight w:val="0"/>
      <w:marTop w:val="0"/>
      <w:marBottom w:val="0"/>
      <w:divBdr>
        <w:top w:val="none" w:sz="0" w:space="0" w:color="auto"/>
        <w:left w:val="none" w:sz="0" w:space="0" w:color="auto"/>
        <w:bottom w:val="none" w:sz="0" w:space="0" w:color="auto"/>
        <w:right w:val="none" w:sz="0" w:space="0" w:color="auto"/>
      </w:divBdr>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1600945804">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83672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RBI5PAMIO524-1616901215-21796</_dlc_DocId>
    <HideFromDelve xmlns="71c5aaf6-e6ce-465b-b873-5148d2a4c105">false</HideFromDelve>
    <Comments xmlns="3f2ce089-3858-4176-9a21-a30f9204848e">OK</Comments>
    <_dlc_DocIdUrl xmlns="71c5aaf6-e6ce-465b-b873-5148d2a4c105">
      <Url>https://nokia.sharepoint.com/sites/gxp/_layouts/15/DocIdRedir.aspx?ID=RBI5PAMIO524-1616901215-21796</Url>
      <Description>RBI5PAMIO524-1616901215-21796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D10C2A64-E402-47FC-9383-866205AA38EF}">
  <ds:schemaRefs>
    <ds:schemaRef ds:uri="http://schemas.microsoft.com/sharepoint/v3/contenttype/forms"/>
  </ds:schemaRefs>
</ds:datastoreItem>
</file>

<file path=customXml/itemProps2.xml><?xml version="1.0" encoding="utf-8"?>
<ds:datastoreItem xmlns:ds="http://schemas.openxmlformats.org/officeDocument/2006/customXml" ds:itemID="{CE81F38E-F8E1-46B9-99DE-93FCB535E661}">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77EC589C-3360-4302-9BAD-D418A38357DD}">
  <ds:schemaRefs>
    <ds:schemaRef ds:uri="Microsoft.SharePoint.Taxonomy.ContentTypeSync"/>
  </ds:schemaRefs>
</ds:datastoreItem>
</file>

<file path=customXml/itemProps5.xml><?xml version="1.0" encoding="utf-8"?>
<ds:datastoreItem xmlns:ds="http://schemas.openxmlformats.org/officeDocument/2006/customXml" ds:itemID="{B24CF205-DEBB-4464-9804-BF9E1B4EB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E070B5-6EA3-4250-9F16-26BD2ACE1D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2024-05-13T12:51:00Z</dcterms:created>
  <dcterms:modified xsi:type="dcterms:W3CDTF">2024-05-13T13:08:00Z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1f766c83-f4c6-46b2-9c00-575a7b495b0a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